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38" w:name="_GoBack"/>
    </w:p>
    <w:p>
      <w:pPr>
        <w:rPr>
          <w:color w:val="auto"/>
        </w:rPr>
      </w:pPr>
    </w:p>
    <w:p>
      <w:pPr>
        <w:rPr>
          <w:color w:val="auto"/>
        </w:rPr>
      </w:pPr>
    </w:p>
    <w:p>
      <w:pPr>
        <w:snapToGrid w:val="0"/>
        <w:ind w:firstLine="0" w:firstLineChars="0"/>
        <w:jc w:val="center"/>
        <w:rPr>
          <w:rFonts w:ascii="宋体" w:hAnsi="宋体" w:eastAsia="宋体" w:cs="宋体"/>
          <w:b/>
          <w:bCs/>
          <w:color w:val="auto"/>
          <w:sz w:val="52"/>
          <w:szCs w:val="52"/>
        </w:rPr>
      </w:pPr>
      <w:r>
        <w:rPr>
          <w:rFonts w:hint="eastAsia" w:ascii="宋体" w:hAnsi="宋体" w:eastAsia="宋体" w:cs="宋体"/>
          <w:b/>
          <w:bCs/>
          <w:color w:val="auto"/>
          <w:sz w:val="52"/>
          <w:szCs w:val="52"/>
        </w:rPr>
        <w:t>保德县地质灾害防治“十四五”规划</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ind w:firstLine="0" w:firstLineChars="0"/>
        <w:jc w:val="center"/>
        <w:rPr>
          <w:rFonts w:ascii="宋体" w:hAnsi="宋体" w:eastAsia="宋体"/>
          <w:b/>
          <w:bCs/>
          <w:color w:val="auto"/>
          <w:sz w:val="36"/>
          <w:szCs w:val="36"/>
        </w:rPr>
      </w:pPr>
      <w:r>
        <w:rPr>
          <w:rFonts w:hint="eastAsia" w:ascii="宋体" w:hAnsi="宋体" w:eastAsia="宋体"/>
          <w:b/>
          <w:bCs/>
          <w:color w:val="auto"/>
          <w:sz w:val="36"/>
          <w:szCs w:val="36"/>
        </w:rPr>
        <w:t>保德县人民政府</w:t>
      </w:r>
    </w:p>
    <w:p>
      <w:pPr>
        <w:snapToGrid w:val="0"/>
        <w:ind w:firstLine="0" w:firstLineChars="0"/>
        <w:jc w:val="center"/>
        <w:rPr>
          <w:rFonts w:ascii="宋体" w:hAnsi="宋体" w:eastAsia="宋体"/>
          <w:b/>
          <w:bCs/>
          <w:color w:val="auto"/>
          <w:sz w:val="36"/>
          <w:szCs w:val="36"/>
        </w:rPr>
      </w:pPr>
      <w:r>
        <w:rPr>
          <w:rFonts w:hint="eastAsia" w:ascii="宋体" w:hAnsi="宋体" w:eastAsia="宋体"/>
          <w:b/>
          <w:bCs/>
          <w:color w:val="auto"/>
          <w:sz w:val="36"/>
          <w:szCs w:val="36"/>
        </w:rPr>
        <w:t>二○二三年</w:t>
      </w:r>
      <w:r>
        <w:rPr>
          <w:rFonts w:hint="eastAsia" w:ascii="宋体" w:hAnsi="宋体" w:eastAsia="宋体"/>
          <w:b/>
          <w:bCs/>
          <w:color w:val="auto"/>
          <w:sz w:val="36"/>
          <w:szCs w:val="36"/>
          <w:lang w:val="en-US" w:eastAsia="zh-CN"/>
        </w:rPr>
        <w:t>十</w:t>
      </w:r>
      <w:r>
        <w:rPr>
          <w:rFonts w:hint="eastAsia" w:ascii="宋体" w:hAnsi="宋体" w:eastAsia="宋体"/>
          <w:b/>
          <w:bCs/>
          <w:color w:val="auto"/>
          <w:sz w:val="36"/>
          <w:szCs w:val="36"/>
        </w:rPr>
        <w:t>月</w:t>
      </w:r>
    </w:p>
    <w:p>
      <w:pPr>
        <w:rPr>
          <w:color w:val="auto"/>
        </w:rPr>
      </w:pPr>
    </w:p>
    <w:p>
      <w:pPr>
        <w:rPr>
          <w:color w:val="auto"/>
        </w:rPr>
      </w:pPr>
    </w:p>
    <w:p>
      <w:pPr>
        <w:snapToGrid w:val="0"/>
        <w:ind w:firstLine="0" w:firstLineChars="0"/>
        <w:jc w:val="center"/>
        <w:rPr>
          <w:color w:val="auto"/>
        </w:rPr>
      </w:pPr>
    </w:p>
    <w:p>
      <w:pPr>
        <w:snapToGrid w:val="0"/>
        <w:ind w:firstLine="0" w:firstLineChars="0"/>
        <w:jc w:val="center"/>
        <w:rPr>
          <w:color w:val="auto"/>
        </w:rPr>
      </w:pPr>
    </w:p>
    <w:p>
      <w:pPr>
        <w:snapToGrid w:val="0"/>
        <w:ind w:firstLine="0" w:firstLineChars="0"/>
        <w:jc w:val="center"/>
        <w:rPr>
          <w:rFonts w:ascii="宋体" w:hAnsi="宋体" w:eastAsia="宋体" w:cs="宋体"/>
          <w:b/>
          <w:bCs/>
          <w:color w:val="auto"/>
          <w:sz w:val="52"/>
          <w:szCs w:val="52"/>
        </w:rPr>
      </w:pPr>
      <w:r>
        <w:rPr>
          <w:rFonts w:hint="eastAsia" w:ascii="宋体" w:hAnsi="宋体" w:eastAsia="宋体" w:cs="宋体"/>
          <w:b/>
          <w:bCs/>
          <w:color w:val="auto"/>
          <w:sz w:val="52"/>
          <w:szCs w:val="52"/>
        </w:rPr>
        <w:t>保德县地质灾害防治“十四五”规划</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ind w:firstLine="0" w:firstLineChars="0"/>
        <w:jc w:val="center"/>
        <w:rPr>
          <w:rFonts w:ascii="宋体" w:hAnsi="宋体" w:eastAsia="宋体"/>
          <w:b/>
          <w:bCs/>
          <w:color w:val="auto"/>
          <w:sz w:val="36"/>
          <w:szCs w:val="36"/>
        </w:rPr>
      </w:pPr>
      <w:r>
        <w:rPr>
          <w:rFonts w:hint="eastAsia" w:ascii="宋体" w:hAnsi="宋体" w:eastAsia="宋体"/>
          <w:b/>
          <w:bCs/>
          <w:color w:val="auto"/>
          <w:sz w:val="36"/>
          <w:szCs w:val="36"/>
        </w:rPr>
        <w:t>保德县人民政府</w:t>
      </w:r>
    </w:p>
    <w:p>
      <w:pPr>
        <w:snapToGrid w:val="0"/>
        <w:ind w:firstLine="0" w:firstLineChars="0"/>
        <w:jc w:val="center"/>
        <w:rPr>
          <w:rFonts w:ascii="宋体" w:hAnsi="宋体" w:eastAsia="宋体"/>
          <w:b/>
          <w:bCs/>
          <w:color w:val="auto"/>
          <w:sz w:val="36"/>
          <w:szCs w:val="36"/>
        </w:rPr>
      </w:pPr>
      <w:r>
        <w:rPr>
          <w:rFonts w:hint="eastAsia" w:ascii="宋体" w:hAnsi="宋体" w:eastAsia="宋体"/>
          <w:b/>
          <w:bCs/>
          <w:color w:val="auto"/>
          <w:sz w:val="36"/>
          <w:szCs w:val="36"/>
        </w:rPr>
        <w:t>二○二三年</w:t>
      </w:r>
      <w:r>
        <w:rPr>
          <w:rFonts w:hint="eastAsia" w:ascii="宋体" w:hAnsi="宋体" w:eastAsia="宋体"/>
          <w:b/>
          <w:bCs/>
          <w:color w:val="auto"/>
          <w:sz w:val="36"/>
          <w:szCs w:val="36"/>
          <w:lang w:val="en-US" w:eastAsia="zh-CN"/>
        </w:rPr>
        <w:t>十</w:t>
      </w:r>
      <w:r>
        <w:rPr>
          <w:rFonts w:hint="eastAsia" w:ascii="宋体" w:hAnsi="宋体" w:eastAsia="宋体"/>
          <w:b/>
          <w:bCs/>
          <w:color w:val="auto"/>
          <w:sz w:val="36"/>
          <w:szCs w:val="36"/>
        </w:rPr>
        <w:t>月</w:t>
      </w:r>
    </w:p>
    <w:p>
      <w:pPr>
        <w:rPr>
          <w:color w:val="auto"/>
        </w:rPr>
      </w:pPr>
    </w:p>
    <w:p>
      <w:pPr>
        <w:rPr>
          <w:color w:val="auto"/>
        </w:rPr>
      </w:pPr>
    </w:p>
    <w:p>
      <w:pPr>
        <w:widowControl/>
        <w:spacing w:line="240" w:lineRule="auto"/>
        <w:ind w:firstLine="0" w:firstLineChars="0"/>
        <w:jc w:val="center"/>
        <w:rPr>
          <w:rFonts w:ascii="黑体" w:hAnsi="黑体" w:eastAsia="黑体"/>
          <w:b/>
          <w:color w:val="auto"/>
          <w:sz w:val="40"/>
        </w:rPr>
      </w:pPr>
      <w:r>
        <w:rPr>
          <w:rFonts w:hint="eastAsia" w:ascii="黑体" w:hAnsi="黑体" w:eastAsia="黑体"/>
          <w:b/>
          <w:color w:val="auto"/>
          <w:sz w:val="40"/>
          <w:lang w:val="zh-CN"/>
        </w:rPr>
        <w:t>目录</w:t>
      </w:r>
    </w:p>
    <w:p>
      <w:pPr>
        <w:pStyle w:val="11"/>
        <w:tabs>
          <w:tab w:val="right" w:leader="dot" w:pos="8306"/>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_Toc12170 </w:instrText>
      </w:r>
      <w:r>
        <w:rPr>
          <w:color w:val="auto"/>
        </w:rPr>
        <w:fldChar w:fldCharType="separate"/>
      </w:r>
      <w:r>
        <w:rPr>
          <w:rFonts w:hint="eastAsia"/>
          <w:color w:val="auto"/>
          <w:szCs w:val="44"/>
        </w:rPr>
        <w:t>前言</w:t>
      </w:r>
      <w:r>
        <w:rPr>
          <w:color w:val="auto"/>
        </w:rPr>
        <w:tab/>
      </w:r>
      <w:r>
        <w:rPr>
          <w:color w:val="auto"/>
        </w:rPr>
        <w:fldChar w:fldCharType="begin"/>
      </w:r>
      <w:r>
        <w:rPr>
          <w:color w:val="auto"/>
        </w:rPr>
        <w:instrText xml:space="preserve"> PAGEREF _Toc12170 \h </w:instrText>
      </w:r>
      <w:r>
        <w:rPr>
          <w:color w:val="auto"/>
        </w:rPr>
        <w:fldChar w:fldCharType="separate"/>
      </w:r>
      <w:r>
        <w:rPr>
          <w:color w:val="auto"/>
        </w:rPr>
        <w:t>1</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_Toc2854 </w:instrText>
      </w:r>
      <w:r>
        <w:rPr>
          <w:color w:val="auto"/>
        </w:rPr>
        <w:fldChar w:fldCharType="separate"/>
      </w:r>
      <w:r>
        <w:rPr>
          <w:rFonts w:hint="eastAsia"/>
          <w:color w:val="auto"/>
        </w:rPr>
        <w:t>一、地质灾害防治现状与形势</w:t>
      </w:r>
      <w:r>
        <w:rPr>
          <w:color w:val="auto"/>
        </w:rPr>
        <w:tab/>
      </w:r>
      <w:r>
        <w:rPr>
          <w:color w:val="auto"/>
        </w:rPr>
        <w:fldChar w:fldCharType="begin"/>
      </w:r>
      <w:r>
        <w:rPr>
          <w:color w:val="auto"/>
        </w:rPr>
        <w:instrText xml:space="preserve"> PAGEREF _Toc2854 \h </w:instrText>
      </w:r>
      <w:r>
        <w:rPr>
          <w:color w:val="auto"/>
        </w:rPr>
        <w:fldChar w:fldCharType="separate"/>
      </w:r>
      <w:r>
        <w:rPr>
          <w:color w:val="auto"/>
        </w:rPr>
        <w:t>1</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_Toc19046 </w:instrText>
      </w:r>
      <w:r>
        <w:rPr>
          <w:color w:val="auto"/>
        </w:rPr>
        <w:fldChar w:fldCharType="separate"/>
      </w:r>
      <w:r>
        <w:rPr>
          <w:rFonts w:hint="eastAsia"/>
          <w:color w:val="auto"/>
        </w:rPr>
        <w:t>（一）地质灾害现状</w:t>
      </w:r>
      <w:r>
        <w:rPr>
          <w:color w:val="auto"/>
        </w:rPr>
        <w:tab/>
      </w:r>
      <w:r>
        <w:rPr>
          <w:color w:val="auto"/>
        </w:rPr>
        <w:fldChar w:fldCharType="begin"/>
      </w:r>
      <w:r>
        <w:rPr>
          <w:color w:val="auto"/>
        </w:rPr>
        <w:instrText xml:space="preserve"> PAGEREF _Toc19046 \h </w:instrText>
      </w:r>
      <w:r>
        <w:rPr>
          <w:color w:val="auto"/>
        </w:rPr>
        <w:fldChar w:fldCharType="separate"/>
      </w:r>
      <w:r>
        <w:rPr>
          <w:color w:val="auto"/>
        </w:rPr>
        <w:t>1</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_Toc6169 </w:instrText>
      </w:r>
      <w:r>
        <w:rPr>
          <w:color w:val="auto"/>
        </w:rPr>
        <w:fldChar w:fldCharType="separate"/>
      </w:r>
      <w:r>
        <w:rPr>
          <w:rFonts w:hint="eastAsia"/>
          <w:color w:val="auto"/>
        </w:rPr>
        <w:t>（二）“十三五”防治成效</w:t>
      </w:r>
      <w:r>
        <w:rPr>
          <w:color w:val="auto"/>
        </w:rPr>
        <w:tab/>
      </w:r>
      <w:r>
        <w:rPr>
          <w:color w:val="auto"/>
        </w:rPr>
        <w:fldChar w:fldCharType="begin"/>
      </w:r>
      <w:r>
        <w:rPr>
          <w:color w:val="auto"/>
        </w:rPr>
        <w:instrText xml:space="preserve"> PAGEREF _Toc6169 \h </w:instrText>
      </w:r>
      <w:r>
        <w:rPr>
          <w:color w:val="auto"/>
        </w:rPr>
        <w:fldChar w:fldCharType="separate"/>
      </w:r>
      <w:r>
        <w:rPr>
          <w:color w:val="auto"/>
        </w:rPr>
        <w:t>3</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_Toc18331 </w:instrText>
      </w:r>
      <w:r>
        <w:rPr>
          <w:color w:val="auto"/>
        </w:rPr>
        <w:fldChar w:fldCharType="separate"/>
      </w:r>
      <w:r>
        <w:rPr>
          <w:rFonts w:hint="eastAsia"/>
          <w:color w:val="auto"/>
        </w:rPr>
        <w:t>（三）“十四五”</w:t>
      </w:r>
      <w:r>
        <w:rPr>
          <w:rFonts w:hint="eastAsia"/>
          <w:color w:val="auto"/>
          <w:lang w:val="en-US" w:eastAsia="zh-CN"/>
        </w:rPr>
        <w:t>地质灾害防治形势</w:t>
      </w:r>
      <w:r>
        <w:rPr>
          <w:color w:val="auto"/>
        </w:rPr>
        <w:tab/>
      </w:r>
      <w:r>
        <w:rPr>
          <w:color w:val="auto"/>
        </w:rPr>
        <w:fldChar w:fldCharType="begin"/>
      </w:r>
      <w:r>
        <w:rPr>
          <w:color w:val="auto"/>
        </w:rPr>
        <w:instrText xml:space="preserve"> PAGEREF _Toc18331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_Toc32373 </w:instrText>
      </w:r>
      <w:r>
        <w:rPr>
          <w:color w:val="auto"/>
        </w:rPr>
        <w:fldChar w:fldCharType="separate"/>
      </w:r>
      <w:r>
        <w:rPr>
          <w:rFonts w:hint="eastAsia"/>
          <w:color w:val="auto"/>
        </w:rPr>
        <w:t>二、规划指导思想、基本原则和目标</w:t>
      </w:r>
      <w:r>
        <w:rPr>
          <w:color w:val="auto"/>
        </w:rPr>
        <w:tab/>
      </w:r>
      <w:r>
        <w:rPr>
          <w:color w:val="auto"/>
        </w:rPr>
        <w:fldChar w:fldCharType="begin"/>
      </w:r>
      <w:r>
        <w:rPr>
          <w:color w:val="auto"/>
        </w:rPr>
        <w:instrText xml:space="preserve"> PAGEREF _Toc32373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_Toc7219 </w:instrText>
      </w:r>
      <w:r>
        <w:rPr>
          <w:color w:val="auto"/>
        </w:rPr>
        <w:fldChar w:fldCharType="separate"/>
      </w:r>
      <w:r>
        <w:rPr>
          <w:rFonts w:hint="eastAsia"/>
          <w:color w:val="auto"/>
        </w:rPr>
        <w:t>（一）指导思想</w:t>
      </w:r>
      <w:r>
        <w:rPr>
          <w:color w:val="auto"/>
        </w:rPr>
        <w:tab/>
      </w:r>
      <w:r>
        <w:rPr>
          <w:color w:val="auto"/>
        </w:rPr>
        <w:fldChar w:fldCharType="begin"/>
      </w:r>
      <w:r>
        <w:rPr>
          <w:color w:val="auto"/>
        </w:rPr>
        <w:instrText xml:space="preserve"> PAGEREF _Toc7219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_Toc1225 </w:instrText>
      </w:r>
      <w:r>
        <w:rPr>
          <w:color w:val="auto"/>
        </w:rPr>
        <w:fldChar w:fldCharType="separate"/>
      </w:r>
      <w:r>
        <w:rPr>
          <w:rFonts w:hint="eastAsia"/>
          <w:color w:val="auto"/>
        </w:rPr>
        <w:t>（二）规划原则</w:t>
      </w:r>
      <w:r>
        <w:rPr>
          <w:color w:val="auto"/>
        </w:rPr>
        <w:tab/>
      </w:r>
      <w:r>
        <w:rPr>
          <w:color w:val="auto"/>
        </w:rPr>
        <w:fldChar w:fldCharType="begin"/>
      </w:r>
      <w:r>
        <w:rPr>
          <w:color w:val="auto"/>
        </w:rPr>
        <w:instrText xml:space="preserve"> PAGEREF _Toc1225 \h </w:instrText>
      </w:r>
      <w:r>
        <w:rPr>
          <w:color w:val="auto"/>
        </w:rPr>
        <w:fldChar w:fldCharType="separate"/>
      </w:r>
      <w:r>
        <w:rPr>
          <w:color w:val="auto"/>
        </w:rPr>
        <w:t>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_Toc11142 </w:instrText>
      </w:r>
      <w:r>
        <w:rPr>
          <w:color w:val="auto"/>
        </w:rPr>
        <w:fldChar w:fldCharType="separate"/>
      </w:r>
      <w:r>
        <w:rPr>
          <w:rFonts w:hint="eastAsia"/>
          <w:color w:val="auto"/>
        </w:rPr>
        <w:t>（三）规划目标</w:t>
      </w:r>
      <w:r>
        <w:rPr>
          <w:color w:val="auto"/>
        </w:rPr>
        <w:tab/>
      </w:r>
      <w:r>
        <w:rPr>
          <w:color w:val="auto"/>
        </w:rPr>
        <w:fldChar w:fldCharType="begin"/>
      </w:r>
      <w:r>
        <w:rPr>
          <w:color w:val="auto"/>
        </w:rPr>
        <w:instrText xml:space="preserve"> PAGEREF _Toc11142 \h </w:instrText>
      </w:r>
      <w:r>
        <w:rPr>
          <w:color w:val="auto"/>
        </w:rPr>
        <w:fldChar w:fldCharType="separate"/>
      </w:r>
      <w:r>
        <w:rPr>
          <w:color w:val="auto"/>
        </w:rPr>
        <w:t>11</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_Toc25605 </w:instrText>
      </w:r>
      <w:r>
        <w:rPr>
          <w:color w:val="auto"/>
        </w:rPr>
        <w:fldChar w:fldCharType="separate"/>
      </w:r>
      <w:r>
        <w:rPr>
          <w:rFonts w:hint="eastAsia"/>
          <w:color w:val="auto"/>
        </w:rPr>
        <w:t>三、地质灾害易发分区和防治分区</w:t>
      </w:r>
      <w:r>
        <w:rPr>
          <w:color w:val="auto"/>
        </w:rPr>
        <w:tab/>
      </w:r>
      <w:r>
        <w:rPr>
          <w:color w:val="auto"/>
        </w:rPr>
        <w:fldChar w:fldCharType="begin"/>
      </w:r>
      <w:r>
        <w:rPr>
          <w:color w:val="auto"/>
        </w:rPr>
        <w:instrText xml:space="preserve"> PAGEREF _Toc25605 \h </w:instrText>
      </w:r>
      <w:r>
        <w:rPr>
          <w:color w:val="auto"/>
        </w:rPr>
        <w:fldChar w:fldCharType="separate"/>
      </w:r>
      <w:r>
        <w:rPr>
          <w:color w:val="auto"/>
        </w:rPr>
        <w:t>12</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_Toc2516 </w:instrText>
      </w:r>
      <w:r>
        <w:rPr>
          <w:color w:val="auto"/>
        </w:rPr>
        <w:fldChar w:fldCharType="separate"/>
      </w:r>
      <w:r>
        <w:rPr>
          <w:rFonts w:hint="eastAsia"/>
          <w:color w:val="auto"/>
        </w:rPr>
        <w:t>（一）地质灾害易发区</w:t>
      </w:r>
      <w:r>
        <w:rPr>
          <w:color w:val="auto"/>
        </w:rPr>
        <w:tab/>
      </w:r>
      <w:r>
        <w:rPr>
          <w:color w:val="auto"/>
        </w:rPr>
        <w:fldChar w:fldCharType="begin"/>
      </w:r>
      <w:r>
        <w:rPr>
          <w:color w:val="auto"/>
        </w:rPr>
        <w:instrText xml:space="preserve"> PAGEREF _Toc2516 \h </w:instrText>
      </w:r>
      <w:r>
        <w:rPr>
          <w:color w:val="auto"/>
        </w:rPr>
        <w:fldChar w:fldCharType="separate"/>
      </w:r>
      <w:r>
        <w:rPr>
          <w:color w:val="auto"/>
        </w:rPr>
        <w:t>12</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_Toc27187 </w:instrText>
      </w:r>
      <w:r>
        <w:rPr>
          <w:color w:val="auto"/>
        </w:rPr>
        <w:fldChar w:fldCharType="separate"/>
      </w:r>
      <w:r>
        <w:rPr>
          <w:rFonts w:hint="eastAsia"/>
          <w:color w:val="auto"/>
        </w:rPr>
        <w:t>（二）地质灾害防治</w:t>
      </w:r>
      <w:r>
        <w:rPr>
          <w:rFonts w:hint="eastAsia"/>
          <w:color w:val="auto"/>
          <w:lang w:val="en-US" w:eastAsia="zh-CN"/>
        </w:rPr>
        <w:t>分</w:t>
      </w:r>
      <w:r>
        <w:rPr>
          <w:rFonts w:hint="eastAsia"/>
          <w:color w:val="auto"/>
        </w:rPr>
        <w:t>区</w:t>
      </w:r>
      <w:r>
        <w:rPr>
          <w:color w:val="auto"/>
        </w:rPr>
        <w:tab/>
      </w:r>
      <w:r>
        <w:rPr>
          <w:color w:val="auto"/>
        </w:rPr>
        <w:fldChar w:fldCharType="begin"/>
      </w:r>
      <w:r>
        <w:rPr>
          <w:color w:val="auto"/>
        </w:rPr>
        <w:instrText xml:space="preserve"> PAGEREF _Toc27187 \h </w:instrText>
      </w:r>
      <w:r>
        <w:rPr>
          <w:color w:val="auto"/>
        </w:rPr>
        <w:fldChar w:fldCharType="separate"/>
      </w:r>
      <w:r>
        <w:rPr>
          <w:color w:val="auto"/>
        </w:rPr>
        <w:t>13</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_Toc21666 </w:instrText>
      </w:r>
      <w:r>
        <w:rPr>
          <w:color w:val="auto"/>
        </w:rPr>
        <w:fldChar w:fldCharType="separate"/>
      </w:r>
      <w:r>
        <w:rPr>
          <w:rFonts w:hint="eastAsia"/>
          <w:color w:val="auto"/>
        </w:rPr>
        <w:t>四、地质灾害防治任务</w:t>
      </w:r>
      <w:r>
        <w:rPr>
          <w:color w:val="auto"/>
        </w:rPr>
        <w:tab/>
      </w:r>
      <w:r>
        <w:rPr>
          <w:color w:val="auto"/>
        </w:rPr>
        <w:fldChar w:fldCharType="begin"/>
      </w:r>
      <w:r>
        <w:rPr>
          <w:color w:val="auto"/>
        </w:rPr>
        <w:instrText xml:space="preserve"> PAGEREF _Toc21666 \h </w:instrText>
      </w:r>
      <w:r>
        <w:rPr>
          <w:color w:val="auto"/>
        </w:rPr>
        <w:fldChar w:fldCharType="separate"/>
      </w:r>
      <w:r>
        <w:rPr>
          <w:color w:val="auto"/>
        </w:rPr>
        <w:t>14</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_Toc12253 </w:instrText>
      </w:r>
      <w:r>
        <w:rPr>
          <w:color w:val="auto"/>
        </w:rPr>
        <w:fldChar w:fldCharType="separate"/>
      </w:r>
      <w:r>
        <w:rPr>
          <w:rFonts w:hint="eastAsia"/>
          <w:color w:val="auto"/>
        </w:rPr>
        <w:t>（一）调查评价</w:t>
      </w:r>
      <w:r>
        <w:rPr>
          <w:color w:val="auto"/>
        </w:rPr>
        <w:tab/>
      </w:r>
      <w:r>
        <w:rPr>
          <w:color w:val="auto"/>
        </w:rPr>
        <w:fldChar w:fldCharType="begin"/>
      </w:r>
      <w:r>
        <w:rPr>
          <w:color w:val="auto"/>
        </w:rPr>
        <w:instrText xml:space="preserve"> PAGEREF _Toc12253 \h </w:instrText>
      </w:r>
      <w:r>
        <w:rPr>
          <w:color w:val="auto"/>
        </w:rPr>
        <w:fldChar w:fldCharType="separate"/>
      </w:r>
      <w:r>
        <w:rPr>
          <w:color w:val="auto"/>
        </w:rPr>
        <w:t>14</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_Toc22279 </w:instrText>
      </w:r>
      <w:r>
        <w:rPr>
          <w:color w:val="auto"/>
        </w:rPr>
        <w:fldChar w:fldCharType="separate"/>
      </w:r>
      <w:r>
        <w:rPr>
          <w:rFonts w:hint="eastAsia"/>
          <w:color w:val="auto"/>
        </w:rPr>
        <w:t>（二）监测预警</w:t>
      </w:r>
      <w:r>
        <w:rPr>
          <w:color w:val="auto"/>
        </w:rPr>
        <w:tab/>
      </w:r>
      <w:r>
        <w:rPr>
          <w:color w:val="auto"/>
        </w:rPr>
        <w:fldChar w:fldCharType="begin"/>
      </w:r>
      <w:r>
        <w:rPr>
          <w:color w:val="auto"/>
        </w:rPr>
        <w:instrText xml:space="preserve"> PAGEREF _Toc22279 \h </w:instrText>
      </w:r>
      <w:r>
        <w:rPr>
          <w:color w:val="auto"/>
        </w:rPr>
        <w:fldChar w:fldCharType="separate"/>
      </w:r>
      <w:r>
        <w:rPr>
          <w:color w:val="auto"/>
        </w:rPr>
        <w:t>16</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_Toc23980 </w:instrText>
      </w:r>
      <w:r>
        <w:rPr>
          <w:color w:val="auto"/>
        </w:rPr>
        <w:fldChar w:fldCharType="separate"/>
      </w:r>
      <w:r>
        <w:rPr>
          <w:rFonts w:hint="eastAsia"/>
          <w:color w:val="auto"/>
        </w:rPr>
        <w:t>（三）综合治理</w:t>
      </w:r>
      <w:r>
        <w:rPr>
          <w:color w:val="auto"/>
        </w:rPr>
        <w:tab/>
      </w:r>
      <w:r>
        <w:rPr>
          <w:color w:val="auto"/>
        </w:rPr>
        <w:fldChar w:fldCharType="begin"/>
      </w:r>
      <w:r>
        <w:rPr>
          <w:color w:val="auto"/>
        </w:rPr>
        <w:instrText xml:space="preserve"> PAGEREF _Toc23980 \h </w:instrText>
      </w:r>
      <w:r>
        <w:rPr>
          <w:color w:val="auto"/>
        </w:rPr>
        <w:fldChar w:fldCharType="separate"/>
      </w:r>
      <w:r>
        <w:rPr>
          <w:color w:val="auto"/>
        </w:rPr>
        <w:t>18</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_Toc8518 </w:instrText>
      </w:r>
      <w:r>
        <w:rPr>
          <w:color w:val="auto"/>
        </w:rPr>
        <w:fldChar w:fldCharType="separate"/>
      </w:r>
      <w:r>
        <w:rPr>
          <w:rFonts w:hint="eastAsia"/>
          <w:color w:val="auto"/>
        </w:rPr>
        <w:t>（四）应急防治</w:t>
      </w:r>
      <w:r>
        <w:rPr>
          <w:color w:val="auto"/>
        </w:rPr>
        <w:tab/>
      </w:r>
      <w:r>
        <w:rPr>
          <w:color w:val="auto"/>
        </w:rPr>
        <w:fldChar w:fldCharType="begin"/>
      </w:r>
      <w:r>
        <w:rPr>
          <w:color w:val="auto"/>
        </w:rPr>
        <w:instrText xml:space="preserve"> PAGEREF _Toc8518 \h </w:instrText>
      </w:r>
      <w:r>
        <w:rPr>
          <w:color w:val="auto"/>
        </w:rPr>
        <w:fldChar w:fldCharType="separate"/>
      </w:r>
      <w:r>
        <w:rPr>
          <w:color w:val="auto"/>
        </w:rPr>
        <w:t>19</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_Toc11274 </w:instrText>
      </w:r>
      <w:r>
        <w:rPr>
          <w:color w:val="auto"/>
        </w:rPr>
        <w:fldChar w:fldCharType="separate"/>
      </w:r>
      <w:r>
        <w:rPr>
          <w:rFonts w:hint="eastAsia"/>
          <w:color w:val="auto"/>
        </w:rPr>
        <w:t>（五）地质灾害防治能力建设</w:t>
      </w:r>
      <w:r>
        <w:rPr>
          <w:color w:val="auto"/>
        </w:rPr>
        <w:tab/>
      </w:r>
      <w:r>
        <w:rPr>
          <w:color w:val="auto"/>
        </w:rPr>
        <w:fldChar w:fldCharType="begin"/>
      </w:r>
      <w:r>
        <w:rPr>
          <w:color w:val="auto"/>
        </w:rPr>
        <w:instrText xml:space="preserve"> PAGEREF _Toc11274 \h </w:instrText>
      </w:r>
      <w:r>
        <w:rPr>
          <w:color w:val="auto"/>
        </w:rPr>
        <w:fldChar w:fldCharType="separate"/>
      </w:r>
      <w:r>
        <w:rPr>
          <w:color w:val="auto"/>
        </w:rPr>
        <w:t>20</w:t>
      </w:r>
      <w:r>
        <w:rPr>
          <w:color w:val="auto"/>
        </w:rPr>
        <w:fldChar w:fldCharType="end"/>
      </w:r>
      <w:r>
        <w:rPr>
          <w:color w:val="auto"/>
        </w:rPr>
        <w:fldChar w:fldCharType="end"/>
      </w:r>
    </w:p>
    <w:p>
      <w:pPr>
        <w:pStyle w:val="11"/>
        <w:tabs>
          <w:tab w:val="right" w:leader="dot" w:pos="8306"/>
        </w:tabs>
        <w:rPr>
          <w:color w:val="auto"/>
        </w:rPr>
      </w:pPr>
      <w:r>
        <w:rPr>
          <w:color w:val="auto"/>
        </w:rPr>
        <w:fldChar w:fldCharType="begin"/>
      </w:r>
      <w:r>
        <w:rPr>
          <w:color w:val="auto"/>
        </w:rPr>
        <w:instrText xml:space="preserve"> HYPERLINK \l _Toc13938 </w:instrText>
      </w:r>
      <w:r>
        <w:rPr>
          <w:color w:val="auto"/>
        </w:rPr>
        <w:fldChar w:fldCharType="separate"/>
      </w:r>
      <w:r>
        <w:rPr>
          <w:rFonts w:hint="eastAsia"/>
          <w:color w:val="auto"/>
        </w:rPr>
        <w:t>五、投资匡算、资金筹措和实施安排</w:t>
      </w:r>
      <w:r>
        <w:rPr>
          <w:color w:val="auto"/>
        </w:rPr>
        <w:tab/>
      </w:r>
      <w:r>
        <w:rPr>
          <w:color w:val="auto"/>
        </w:rPr>
        <w:fldChar w:fldCharType="begin"/>
      </w:r>
      <w:r>
        <w:rPr>
          <w:color w:val="auto"/>
        </w:rPr>
        <w:instrText xml:space="preserve"> PAGEREF _Toc13938 \h </w:instrText>
      </w:r>
      <w:r>
        <w:rPr>
          <w:color w:val="auto"/>
        </w:rPr>
        <w:fldChar w:fldCharType="separate"/>
      </w:r>
      <w:r>
        <w:rPr>
          <w:color w:val="auto"/>
        </w:rPr>
        <w:t>21</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_Toc21711 </w:instrText>
      </w:r>
      <w:r>
        <w:rPr>
          <w:color w:val="auto"/>
        </w:rPr>
        <w:fldChar w:fldCharType="separate"/>
      </w:r>
      <w:r>
        <w:rPr>
          <w:rFonts w:hint="eastAsia"/>
          <w:color w:val="auto"/>
        </w:rPr>
        <w:t>（一）投资匡算</w:t>
      </w:r>
      <w:r>
        <w:rPr>
          <w:color w:val="auto"/>
        </w:rPr>
        <w:tab/>
      </w:r>
      <w:r>
        <w:rPr>
          <w:color w:val="auto"/>
        </w:rPr>
        <w:fldChar w:fldCharType="begin"/>
      </w:r>
      <w:r>
        <w:rPr>
          <w:color w:val="auto"/>
        </w:rPr>
        <w:instrText xml:space="preserve"> PAGEREF _Toc21711 \h </w:instrText>
      </w:r>
      <w:r>
        <w:rPr>
          <w:color w:val="auto"/>
        </w:rPr>
        <w:fldChar w:fldCharType="separate"/>
      </w:r>
      <w:r>
        <w:rPr>
          <w:color w:val="auto"/>
        </w:rPr>
        <w:t>21</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_Toc18409 </w:instrText>
      </w:r>
      <w:r>
        <w:rPr>
          <w:color w:val="auto"/>
        </w:rPr>
        <w:fldChar w:fldCharType="separate"/>
      </w:r>
      <w:r>
        <w:rPr>
          <w:rFonts w:hint="eastAsia"/>
          <w:color w:val="auto"/>
        </w:rPr>
        <w:t>（二）资金筹措</w:t>
      </w:r>
      <w:r>
        <w:rPr>
          <w:color w:val="auto"/>
        </w:rPr>
        <w:tab/>
      </w:r>
      <w:r>
        <w:rPr>
          <w:color w:val="auto"/>
        </w:rPr>
        <w:fldChar w:fldCharType="begin"/>
      </w:r>
      <w:r>
        <w:rPr>
          <w:color w:val="auto"/>
        </w:rPr>
        <w:instrText xml:space="preserve"> PAGEREF _Toc18409 \h </w:instrText>
      </w:r>
      <w:r>
        <w:rPr>
          <w:color w:val="auto"/>
        </w:rPr>
        <w:fldChar w:fldCharType="separate"/>
      </w:r>
      <w:r>
        <w:rPr>
          <w:color w:val="auto"/>
        </w:rPr>
        <w:t>22</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_Toc12087 </w:instrText>
      </w:r>
      <w:r>
        <w:rPr>
          <w:color w:val="auto"/>
        </w:rPr>
        <w:fldChar w:fldCharType="separate"/>
      </w:r>
      <w:r>
        <w:rPr>
          <w:rFonts w:hint="eastAsia"/>
          <w:color w:val="auto"/>
        </w:rPr>
        <w:t>（一）组织机构管理保证</w:t>
      </w:r>
      <w:r>
        <w:rPr>
          <w:color w:val="auto"/>
        </w:rPr>
        <w:tab/>
      </w:r>
      <w:r>
        <w:rPr>
          <w:color w:val="auto"/>
        </w:rPr>
        <w:fldChar w:fldCharType="begin"/>
      </w:r>
      <w:r>
        <w:rPr>
          <w:color w:val="auto"/>
        </w:rPr>
        <w:instrText xml:space="preserve"> PAGEREF _Toc12087 \h </w:instrText>
      </w:r>
      <w:r>
        <w:rPr>
          <w:color w:val="auto"/>
        </w:rPr>
        <w:fldChar w:fldCharType="separate"/>
      </w:r>
      <w:r>
        <w:rPr>
          <w:color w:val="auto"/>
        </w:rPr>
        <w:t>23</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_Toc30184 </w:instrText>
      </w:r>
      <w:r>
        <w:rPr>
          <w:color w:val="auto"/>
        </w:rPr>
        <w:fldChar w:fldCharType="separate"/>
      </w:r>
      <w:r>
        <w:rPr>
          <w:rFonts w:hint="eastAsia"/>
          <w:color w:val="auto"/>
        </w:rPr>
        <w:t>（二）制度保证</w:t>
      </w:r>
      <w:r>
        <w:rPr>
          <w:color w:val="auto"/>
        </w:rPr>
        <w:tab/>
      </w:r>
      <w:r>
        <w:rPr>
          <w:color w:val="auto"/>
        </w:rPr>
        <w:fldChar w:fldCharType="begin"/>
      </w:r>
      <w:r>
        <w:rPr>
          <w:color w:val="auto"/>
        </w:rPr>
        <w:instrText xml:space="preserve"> PAGEREF _Toc30184 \h </w:instrText>
      </w:r>
      <w:r>
        <w:rPr>
          <w:color w:val="auto"/>
        </w:rPr>
        <w:fldChar w:fldCharType="separate"/>
      </w:r>
      <w:r>
        <w:rPr>
          <w:color w:val="auto"/>
        </w:rPr>
        <w:t>24</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_Toc12474 </w:instrText>
      </w:r>
      <w:r>
        <w:rPr>
          <w:color w:val="auto"/>
        </w:rPr>
        <w:fldChar w:fldCharType="separate"/>
      </w:r>
      <w:r>
        <w:rPr>
          <w:rFonts w:hint="eastAsia"/>
          <w:color w:val="auto"/>
        </w:rPr>
        <w:t>（三）资金保证</w:t>
      </w:r>
      <w:r>
        <w:rPr>
          <w:color w:val="auto"/>
        </w:rPr>
        <w:tab/>
      </w:r>
      <w:r>
        <w:rPr>
          <w:color w:val="auto"/>
        </w:rPr>
        <w:fldChar w:fldCharType="begin"/>
      </w:r>
      <w:r>
        <w:rPr>
          <w:color w:val="auto"/>
        </w:rPr>
        <w:instrText xml:space="preserve"> PAGEREF _Toc12474 \h </w:instrText>
      </w:r>
      <w:r>
        <w:rPr>
          <w:color w:val="auto"/>
        </w:rPr>
        <w:fldChar w:fldCharType="separate"/>
      </w:r>
      <w:r>
        <w:rPr>
          <w:color w:val="auto"/>
        </w:rPr>
        <w:t>26</w:t>
      </w:r>
      <w:r>
        <w:rPr>
          <w:color w:val="auto"/>
        </w:rPr>
        <w:fldChar w:fldCharType="end"/>
      </w:r>
      <w:r>
        <w:rPr>
          <w:color w:val="auto"/>
        </w:rPr>
        <w:fldChar w:fldCharType="end"/>
      </w:r>
    </w:p>
    <w:p>
      <w:pPr>
        <w:pStyle w:val="12"/>
        <w:tabs>
          <w:tab w:val="right" w:leader="dot" w:pos="8306"/>
        </w:tabs>
        <w:rPr>
          <w:color w:val="auto"/>
        </w:rPr>
      </w:pPr>
      <w:r>
        <w:rPr>
          <w:color w:val="auto"/>
        </w:rPr>
        <w:fldChar w:fldCharType="begin"/>
      </w:r>
      <w:r>
        <w:rPr>
          <w:color w:val="auto"/>
        </w:rPr>
        <w:instrText xml:space="preserve"> HYPERLINK \l _Toc1416 </w:instrText>
      </w:r>
      <w:r>
        <w:rPr>
          <w:color w:val="auto"/>
        </w:rPr>
        <w:fldChar w:fldCharType="separate"/>
      </w:r>
      <w:r>
        <w:rPr>
          <w:rFonts w:hint="eastAsia"/>
          <w:color w:val="auto"/>
        </w:rPr>
        <w:t>（四）宣传教育保证</w:t>
      </w:r>
      <w:r>
        <w:rPr>
          <w:color w:val="auto"/>
        </w:rPr>
        <w:tab/>
      </w:r>
      <w:r>
        <w:rPr>
          <w:color w:val="auto"/>
        </w:rPr>
        <w:fldChar w:fldCharType="begin"/>
      </w:r>
      <w:r>
        <w:rPr>
          <w:color w:val="auto"/>
        </w:rPr>
        <w:instrText xml:space="preserve"> PAGEREF _Toc1416 \h </w:instrText>
      </w:r>
      <w:r>
        <w:rPr>
          <w:color w:val="auto"/>
        </w:rPr>
        <w:fldChar w:fldCharType="separate"/>
      </w:r>
      <w:r>
        <w:rPr>
          <w:color w:val="auto"/>
        </w:rPr>
        <w:t>27</w:t>
      </w:r>
      <w:r>
        <w:rPr>
          <w:color w:val="auto"/>
        </w:rPr>
        <w:fldChar w:fldCharType="end"/>
      </w:r>
      <w:r>
        <w:rPr>
          <w:color w:val="auto"/>
        </w:rPr>
        <w:fldChar w:fldCharType="end"/>
      </w:r>
    </w:p>
    <w:p>
      <w:pPr>
        <w:snapToGrid w:val="0"/>
        <w:rPr>
          <w:color w:val="auto"/>
        </w:rPr>
      </w:pPr>
      <w:r>
        <w:rPr>
          <w:color w:val="auto"/>
        </w:rPr>
        <w:fldChar w:fldCharType="end"/>
      </w:r>
    </w:p>
    <w:p>
      <w:pPr>
        <w:ind w:firstLine="643"/>
        <w:rPr>
          <w:b/>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3"/>
        <w:ind w:firstLine="883"/>
        <w:jc w:val="center"/>
        <w:rPr>
          <w:color w:val="auto"/>
          <w:sz w:val="44"/>
          <w:szCs w:val="44"/>
        </w:rPr>
      </w:pPr>
      <w:bookmarkStart w:id="0" w:name="_Toc12170"/>
      <w:r>
        <w:rPr>
          <w:rFonts w:hint="eastAsia"/>
          <w:color w:val="auto"/>
          <w:sz w:val="44"/>
          <w:szCs w:val="44"/>
        </w:rPr>
        <w:t>前言</w:t>
      </w:r>
      <w:bookmarkEnd w:id="0"/>
    </w:p>
    <w:p>
      <w:pPr>
        <w:ind w:firstLine="636"/>
        <w:rPr>
          <w:color w:val="auto"/>
          <w:spacing w:val="-1"/>
        </w:rPr>
      </w:pPr>
      <w:r>
        <w:rPr>
          <w:rFonts w:hint="eastAsia"/>
          <w:color w:val="auto"/>
          <w:spacing w:val="-1"/>
        </w:rPr>
        <w:t>为了</w:t>
      </w:r>
      <w:r>
        <w:rPr>
          <w:rFonts w:hint="eastAsia"/>
          <w:color w:val="auto"/>
        </w:rPr>
        <w:t>全面贯彻党的二十大精神，坚持推动绿色发展、促进人与自然和谐共生，</w:t>
      </w:r>
      <w:r>
        <w:rPr>
          <w:rFonts w:hint="eastAsia"/>
          <w:color w:val="auto"/>
          <w:spacing w:val="-1"/>
        </w:rPr>
        <w:t>科学有效地做好保德县地质灾害防治工作，最大限度地减少或避免地质灾害给人民生命财产造成的损失，依据国务院《地质灾害防治条例》、《国务院关于加强地质灾害防治工作的决定》以及《山西省地质灾害防治条例》制定本规划。</w:t>
      </w:r>
    </w:p>
    <w:p>
      <w:pPr>
        <w:ind w:firstLine="636"/>
        <w:rPr>
          <w:color w:val="auto"/>
        </w:rPr>
      </w:pPr>
      <w:r>
        <w:rPr>
          <w:rFonts w:hint="eastAsia"/>
          <w:color w:val="auto"/>
          <w:spacing w:val="-1"/>
        </w:rPr>
        <w:t>本规划是“十四五”期间</w:t>
      </w:r>
      <w:r>
        <w:rPr>
          <w:rFonts w:hint="eastAsia"/>
          <w:color w:val="auto"/>
          <w:spacing w:val="-1"/>
          <w:lang w:val="en-US" w:eastAsia="zh-CN"/>
        </w:rPr>
        <w:t>完成</w:t>
      </w:r>
      <w:r>
        <w:rPr>
          <w:rFonts w:hint="eastAsia"/>
          <w:color w:val="auto"/>
          <w:spacing w:val="-1"/>
        </w:rPr>
        <w:t>地质灾害防治工作的基础依据，</w:t>
      </w:r>
      <w:r>
        <w:rPr>
          <w:rFonts w:hint="eastAsia"/>
          <w:color w:val="auto"/>
        </w:rPr>
        <w:t>内容包括</w:t>
      </w:r>
      <w:r>
        <w:rPr>
          <w:color w:val="auto"/>
        </w:rPr>
        <w:t>地质灾害调查评价、监测预警、综合治理</w:t>
      </w:r>
      <w:r>
        <w:rPr>
          <w:rFonts w:hint="eastAsia"/>
          <w:color w:val="auto"/>
        </w:rPr>
        <w:t>、应急防治</w:t>
      </w:r>
      <w:r>
        <w:rPr>
          <w:color w:val="auto"/>
        </w:rPr>
        <w:t>能力建设</w:t>
      </w:r>
      <w:r>
        <w:rPr>
          <w:rFonts w:hint="eastAsia"/>
          <w:color w:val="auto"/>
          <w:lang w:val="en-US" w:eastAsia="zh-CN"/>
        </w:rPr>
        <w:t>和地质灾害防治能力建设五</w:t>
      </w:r>
      <w:r>
        <w:rPr>
          <w:rFonts w:hint="eastAsia"/>
          <w:color w:val="auto"/>
        </w:rPr>
        <w:t>个方面。</w:t>
      </w:r>
    </w:p>
    <w:p>
      <w:pPr>
        <w:rPr>
          <w:color w:val="auto"/>
        </w:rPr>
      </w:pPr>
      <w:r>
        <w:rPr>
          <w:rFonts w:hint="eastAsia"/>
          <w:color w:val="auto"/>
        </w:rPr>
        <w:t>本规划衔接山西省、忻州</w:t>
      </w:r>
      <w:r>
        <w:rPr>
          <w:rFonts w:hint="eastAsia"/>
          <w:color w:val="auto"/>
          <w:lang w:val="en-US" w:eastAsia="zh-CN"/>
        </w:rPr>
        <w:t>市</w:t>
      </w:r>
      <w:r>
        <w:rPr>
          <w:rFonts w:hint="eastAsia"/>
          <w:color w:val="auto"/>
        </w:rPr>
        <w:t>和保德县相关规划，深化和落实《山西省地质灾害防治“十四五”规划》、《忻州市地质灾害防治“十四五”规划》的目标任务和要求。</w:t>
      </w:r>
    </w:p>
    <w:p>
      <w:pPr>
        <w:ind w:firstLine="636"/>
        <w:rPr>
          <w:color w:val="auto"/>
          <w:spacing w:val="-1"/>
        </w:rPr>
      </w:pPr>
      <w:r>
        <w:rPr>
          <w:rFonts w:hint="eastAsia"/>
          <w:color w:val="auto"/>
          <w:spacing w:val="-1"/>
        </w:rPr>
        <w:t>本规划适用范围为保德县所辖行政区域，规划基准年为</w:t>
      </w:r>
      <w:r>
        <w:rPr>
          <w:color w:val="auto"/>
          <w:spacing w:val="-1"/>
        </w:rPr>
        <w:t>2020</w:t>
      </w:r>
      <w:r>
        <w:rPr>
          <w:rFonts w:hint="eastAsia"/>
          <w:color w:val="auto"/>
          <w:spacing w:val="-1"/>
        </w:rPr>
        <w:t>年，规划期自</w:t>
      </w:r>
      <w:r>
        <w:rPr>
          <w:color w:val="auto"/>
          <w:spacing w:val="-1"/>
        </w:rPr>
        <w:t>2021</w:t>
      </w:r>
      <w:r>
        <w:rPr>
          <w:rFonts w:hint="eastAsia"/>
          <w:color w:val="auto"/>
          <w:spacing w:val="-1"/>
        </w:rPr>
        <w:t>年至</w:t>
      </w:r>
      <w:r>
        <w:rPr>
          <w:color w:val="auto"/>
          <w:spacing w:val="-1"/>
        </w:rPr>
        <w:t>2025</w:t>
      </w:r>
      <w:r>
        <w:rPr>
          <w:rFonts w:hint="eastAsia"/>
          <w:color w:val="auto"/>
          <w:spacing w:val="-1"/>
        </w:rPr>
        <w:t>年。</w:t>
      </w:r>
    </w:p>
    <w:p>
      <w:pPr>
        <w:pStyle w:val="3"/>
        <w:ind w:firstLine="643"/>
        <w:rPr>
          <w:color w:val="auto"/>
        </w:rPr>
      </w:pPr>
      <w:bookmarkStart w:id="1" w:name="_Toc2854"/>
      <w:r>
        <w:rPr>
          <w:rFonts w:hint="eastAsia"/>
          <w:color w:val="auto"/>
        </w:rPr>
        <w:t>一、地质灾害防治现状与形势</w:t>
      </w:r>
      <w:bookmarkEnd w:id="1"/>
    </w:p>
    <w:p>
      <w:pPr>
        <w:pStyle w:val="4"/>
        <w:ind w:firstLine="643"/>
        <w:rPr>
          <w:color w:val="auto"/>
        </w:rPr>
      </w:pPr>
      <w:bookmarkStart w:id="2" w:name="_Toc19046"/>
      <w:r>
        <w:rPr>
          <w:rFonts w:hint="eastAsia"/>
          <w:color w:val="auto"/>
        </w:rPr>
        <w:t>（一）地质灾害现状</w:t>
      </w:r>
      <w:bookmarkEnd w:id="2"/>
    </w:p>
    <w:p>
      <w:pPr>
        <w:rPr>
          <w:rFonts w:hint="eastAsia"/>
          <w:color w:val="auto"/>
        </w:rPr>
      </w:pPr>
      <w:r>
        <w:rPr>
          <w:rFonts w:hint="eastAsia"/>
          <w:color w:val="auto"/>
        </w:rPr>
        <w:t>截至</w:t>
      </w:r>
      <w:r>
        <w:rPr>
          <w:color w:val="auto"/>
        </w:rPr>
        <w:t>202</w:t>
      </w:r>
      <w:r>
        <w:rPr>
          <w:rFonts w:hint="eastAsia"/>
          <w:color w:val="auto"/>
          <w:lang w:val="en-US" w:eastAsia="zh-CN"/>
        </w:rPr>
        <w:t>1</w:t>
      </w:r>
      <w:r>
        <w:rPr>
          <w:rFonts w:hint="eastAsia"/>
          <w:color w:val="auto"/>
        </w:rPr>
        <w:t>年</w:t>
      </w:r>
      <w:r>
        <w:rPr>
          <w:rFonts w:hint="eastAsia"/>
          <w:color w:val="auto"/>
          <w:lang w:val="en-US" w:eastAsia="zh-CN"/>
        </w:rPr>
        <w:t>初</w:t>
      </w:r>
      <w:r>
        <w:rPr>
          <w:rFonts w:hint="eastAsia"/>
          <w:color w:val="auto"/>
        </w:rPr>
        <w:t>，保德县全县范围内共确认地质灾害隐患点10</w:t>
      </w:r>
      <w:r>
        <w:rPr>
          <w:rFonts w:hint="eastAsia"/>
          <w:color w:val="auto"/>
          <w:lang w:val="en-US" w:eastAsia="zh-CN"/>
        </w:rPr>
        <w:t>5</w:t>
      </w:r>
      <w:r>
        <w:rPr>
          <w:rFonts w:hint="eastAsia"/>
          <w:color w:val="auto"/>
        </w:rPr>
        <w:t>处，其中，滑坡2</w:t>
      </w:r>
      <w:r>
        <w:rPr>
          <w:rFonts w:hint="eastAsia"/>
          <w:color w:val="auto"/>
          <w:lang w:val="en-US" w:eastAsia="zh-CN"/>
        </w:rPr>
        <w:t>2</w:t>
      </w:r>
      <w:r>
        <w:rPr>
          <w:rFonts w:hint="eastAsia"/>
          <w:color w:val="auto"/>
        </w:rPr>
        <w:t>处，占地质灾害点总数的20.</w:t>
      </w:r>
      <w:r>
        <w:rPr>
          <w:rFonts w:hint="eastAsia"/>
          <w:color w:val="auto"/>
          <w:lang w:val="en-US" w:eastAsia="zh-CN"/>
        </w:rPr>
        <w:t>95</w:t>
      </w:r>
      <w:r>
        <w:rPr>
          <w:color w:val="auto"/>
        </w:rPr>
        <w:t>%</w:t>
      </w:r>
      <w:r>
        <w:rPr>
          <w:rFonts w:hint="eastAsia"/>
          <w:color w:val="auto"/>
        </w:rPr>
        <w:t>；崩塌</w:t>
      </w:r>
      <w:r>
        <w:rPr>
          <w:rFonts w:hint="eastAsia"/>
          <w:color w:val="auto"/>
          <w:lang w:val="en-US" w:eastAsia="zh-CN"/>
        </w:rPr>
        <w:t>58</w:t>
      </w:r>
      <w:r>
        <w:rPr>
          <w:rFonts w:hint="eastAsia"/>
          <w:color w:val="auto"/>
        </w:rPr>
        <w:t>处，占地质灾害点总数的5</w:t>
      </w:r>
      <w:r>
        <w:rPr>
          <w:rFonts w:hint="eastAsia"/>
          <w:color w:val="auto"/>
          <w:lang w:val="en-US" w:eastAsia="zh-CN"/>
        </w:rPr>
        <w:t>5.24</w:t>
      </w:r>
      <w:r>
        <w:rPr>
          <w:color w:val="auto"/>
        </w:rPr>
        <w:t>%</w:t>
      </w:r>
      <w:r>
        <w:rPr>
          <w:rFonts w:hint="eastAsia"/>
          <w:color w:val="auto"/>
        </w:rPr>
        <w:t>；地面塌陷23处，占地质灾害点总数的</w:t>
      </w:r>
      <w:r>
        <w:rPr>
          <w:rFonts w:hint="eastAsia"/>
          <w:color w:val="auto"/>
          <w:lang w:val="en-US" w:eastAsia="zh-CN"/>
        </w:rPr>
        <w:t>21.90</w:t>
      </w:r>
      <w:r>
        <w:rPr>
          <w:color w:val="auto"/>
        </w:rPr>
        <w:t>%</w:t>
      </w:r>
      <w:r>
        <w:rPr>
          <w:rFonts w:hint="eastAsia"/>
          <w:color w:val="auto"/>
        </w:rPr>
        <w:t>；泥石流2处，占地质灾害点总数的</w:t>
      </w:r>
      <w:r>
        <w:rPr>
          <w:rFonts w:hint="eastAsia"/>
          <w:color w:val="auto"/>
          <w:lang w:val="en-US" w:eastAsia="zh-CN"/>
        </w:rPr>
        <w:t>1.91</w:t>
      </w:r>
      <w:r>
        <w:rPr>
          <w:rFonts w:hint="eastAsia"/>
          <w:color w:val="auto"/>
        </w:rPr>
        <w:t>%。</w:t>
      </w:r>
    </w:p>
    <w:p>
      <w:pPr>
        <w:rPr>
          <w:rFonts w:hint="eastAsia"/>
          <w:color w:val="auto"/>
        </w:rPr>
      </w:pPr>
      <w:r>
        <w:rPr>
          <w:rFonts w:hint="eastAsia"/>
          <w:color w:val="auto"/>
          <w:lang w:val="en-US" w:eastAsia="zh-CN"/>
        </w:rPr>
        <w:t>全县</w:t>
      </w:r>
      <w:r>
        <w:rPr>
          <w:rFonts w:hint="eastAsia"/>
          <w:color w:val="auto"/>
        </w:rPr>
        <w:t>受潜在地质灾害威胁主要来自于滑坡、崩塌、泥石流、地面塌陷，威胁总人口约为1414</w:t>
      </w:r>
      <w:r>
        <w:rPr>
          <w:rFonts w:hint="eastAsia"/>
          <w:color w:val="auto"/>
          <w:lang w:val="en-US" w:eastAsia="zh-CN"/>
        </w:rPr>
        <w:t>0</w:t>
      </w:r>
      <w:r>
        <w:rPr>
          <w:rFonts w:hint="eastAsia"/>
          <w:color w:val="auto"/>
        </w:rPr>
        <w:t>人，威胁财产总额约</w:t>
      </w:r>
      <w:r>
        <w:rPr>
          <w:rFonts w:hint="eastAsia"/>
          <w:color w:val="auto"/>
          <w:lang w:val="en-US" w:eastAsia="zh-CN"/>
        </w:rPr>
        <w:t>54233.5</w:t>
      </w:r>
      <w:r>
        <w:rPr>
          <w:rFonts w:hint="eastAsia"/>
          <w:color w:val="auto"/>
        </w:rPr>
        <w:t>万元。</w:t>
      </w:r>
    </w:p>
    <w:p>
      <w:pPr>
        <w:rPr>
          <w:color w:val="auto"/>
        </w:rPr>
      </w:pPr>
      <w:r>
        <w:rPr>
          <w:rFonts w:hint="eastAsia"/>
          <w:color w:val="auto"/>
        </w:rPr>
        <w:t>全县10</w:t>
      </w:r>
      <w:r>
        <w:rPr>
          <w:rFonts w:hint="eastAsia"/>
          <w:color w:val="auto"/>
          <w:lang w:val="en-US" w:eastAsia="zh-CN"/>
        </w:rPr>
        <w:t>5</w:t>
      </w:r>
      <w:r>
        <w:rPr>
          <w:rFonts w:hint="eastAsia"/>
          <w:color w:val="auto"/>
        </w:rPr>
        <w:t>处地质灾害隐患点，按规模等级划分：规模等级</w:t>
      </w:r>
      <w:r>
        <w:rPr>
          <w:rFonts w:hint="eastAsia"/>
          <w:color w:val="auto"/>
          <w:lang w:val="en-US" w:eastAsia="zh-CN"/>
        </w:rPr>
        <w:t>特大型</w:t>
      </w:r>
      <w:r>
        <w:rPr>
          <w:rFonts w:hint="eastAsia"/>
          <w:color w:val="auto"/>
        </w:rPr>
        <w:t>1处、大型1处，均为泥石流；规模等级中型</w:t>
      </w:r>
      <w:r>
        <w:rPr>
          <w:rFonts w:hint="eastAsia"/>
          <w:color w:val="auto"/>
          <w:lang w:val="en-US" w:eastAsia="zh-CN"/>
        </w:rPr>
        <w:t>23</w:t>
      </w:r>
      <w:r>
        <w:rPr>
          <w:rFonts w:hint="eastAsia"/>
          <w:color w:val="auto"/>
        </w:rPr>
        <w:t>处，其中滑坡</w:t>
      </w:r>
      <w:r>
        <w:rPr>
          <w:rFonts w:hint="eastAsia"/>
          <w:color w:val="auto"/>
          <w:lang w:val="en-US" w:eastAsia="zh-CN"/>
        </w:rPr>
        <w:t>3</w:t>
      </w:r>
      <w:r>
        <w:rPr>
          <w:rFonts w:hint="eastAsia"/>
          <w:color w:val="auto"/>
        </w:rPr>
        <w:t>处，地面塌陷20处；规模等级小型8</w:t>
      </w:r>
      <w:r>
        <w:rPr>
          <w:rFonts w:hint="eastAsia"/>
          <w:color w:val="auto"/>
          <w:lang w:val="en-US" w:eastAsia="zh-CN"/>
        </w:rPr>
        <w:t>0</w:t>
      </w:r>
      <w:r>
        <w:rPr>
          <w:rFonts w:hint="eastAsia"/>
          <w:color w:val="auto"/>
        </w:rPr>
        <w:t>处，其中崩塌</w:t>
      </w:r>
      <w:r>
        <w:rPr>
          <w:rFonts w:hint="eastAsia"/>
          <w:color w:val="auto"/>
          <w:lang w:val="en-US" w:eastAsia="zh-CN"/>
        </w:rPr>
        <w:t>58</w:t>
      </w:r>
      <w:r>
        <w:rPr>
          <w:rFonts w:hint="eastAsia"/>
          <w:color w:val="auto"/>
        </w:rPr>
        <w:t>处，滑坡19处，地面塌陷3处。</w:t>
      </w:r>
    </w:p>
    <w:p>
      <w:pPr>
        <w:rPr>
          <w:rFonts w:hint="eastAsia"/>
          <w:color w:val="auto"/>
        </w:rPr>
      </w:pPr>
      <w:r>
        <w:rPr>
          <w:rFonts w:hint="eastAsia"/>
          <w:color w:val="auto"/>
        </w:rPr>
        <w:t>全县10</w:t>
      </w:r>
      <w:r>
        <w:rPr>
          <w:rFonts w:hint="eastAsia"/>
          <w:color w:val="auto"/>
          <w:lang w:val="en-US" w:eastAsia="zh-CN"/>
        </w:rPr>
        <w:t>5</w:t>
      </w:r>
      <w:r>
        <w:rPr>
          <w:rFonts w:hint="eastAsia"/>
          <w:color w:val="auto"/>
        </w:rPr>
        <w:t>处地质灾害隐患点，按险情等级划分：险情等级特大型1处、大型1处，均为泥石流；险情等级中型4处，均为滑坡；险情等级小型</w:t>
      </w:r>
      <w:r>
        <w:rPr>
          <w:rFonts w:hint="eastAsia"/>
          <w:color w:val="auto"/>
          <w:lang w:val="en-US" w:eastAsia="zh-CN"/>
        </w:rPr>
        <w:t>99</w:t>
      </w:r>
      <w:r>
        <w:rPr>
          <w:rFonts w:hint="eastAsia"/>
          <w:color w:val="auto"/>
        </w:rPr>
        <w:t>处，其中崩塌</w:t>
      </w:r>
      <w:r>
        <w:rPr>
          <w:rFonts w:hint="eastAsia"/>
          <w:color w:val="auto"/>
          <w:lang w:val="en-US" w:eastAsia="zh-CN"/>
        </w:rPr>
        <w:t>58</w:t>
      </w:r>
      <w:r>
        <w:rPr>
          <w:rFonts w:hint="eastAsia"/>
          <w:color w:val="auto"/>
        </w:rPr>
        <w:t>处，滑坡</w:t>
      </w:r>
      <w:r>
        <w:rPr>
          <w:rFonts w:hint="eastAsia"/>
          <w:color w:val="auto"/>
          <w:lang w:val="en-US" w:eastAsia="zh-CN"/>
        </w:rPr>
        <w:t>18</w:t>
      </w:r>
      <w:r>
        <w:rPr>
          <w:rFonts w:hint="eastAsia"/>
          <w:color w:val="auto"/>
        </w:rPr>
        <w:t>处，地面塌陷23处。</w:t>
      </w:r>
    </w:p>
    <w:p>
      <w:pPr>
        <w:rPr>
          <w:color w:val="auto"/>
        </w:rPr>
      </w:pPr>
      <w:r>
        <w:rPr>
          <w:rFonts w:hint="eastAsia"/>
          <w:color w:val="auto"/>
        </w:rPr>
        <w:t>按乡镇分布情况统计：冯家川乡现状条件下无地质灾害隐患。义门镇地质灾害隐患点最多，共计2</w:t>
      </w:r>
      <w:r>
        <w:rPr>
          <w:rFonts w:hint="eastAsia"/>
          <w:color w:val="auto"/>
          <w:lang w:val="en-US" w:eastAsia="zh-CN"/>
        </w:rPr>
        <w:t>0</w:t>
      </w:r>
      <w:r>
        <w:rPr>
          <w:rFonts w:hint="eastAsia"/>
          <w:color w:val="auto"/>
        </w:rPr>
        <w:t>处，其中崩塌1</w:t>
      </w:r>
      <w:r>
        <w:rPr>
          <w:rFonts w:hint="eastAsia"/>
          <w:color w:val="auto"/>
          <w:lang w:val="en-US" w:eastAsia="zh-CN"/>
        </w:rPr>
        <w:t>1</w:t>
      </w:r>
      <w:r>
        <w:rPr>
          <w:rFonts w:hint="eastAsia"/>
          <w:color w:val="auto"/>
        </w:rPr>
        <w:t>处，滑坡4处，地面塌陷5处；孙家沟镇其次，共计1</w:t>
      </w:r>
      <w:r>
        <w:rPr>
          <w:rFonts w:hint="eastAsia"/>
          <w:color w:val="auto"/>
          <w:lang w:val="en-US" w:eastAsia="zh-CN"/>
        </w:rPr>
        <w:t>8</w:t>
      </w:r>
      <w:r>
        <w:rPr>
          <w:rFonts w:hint="eastAsia"/>
          <w:color w:val="auto"/>
        </w:rPr>
        <w:t>处，其中崩塌1</w:t>
      </w:r>
      <w:r>
        <w:rPr>
          <w:rFonts w:hint="eastAsia"/>
          <w:color w:val="auto"/>
          <w:lang w:val="en-US" w:eastAsia="zh-CN"/>
        </w:rPr>
        <w:t>0</w:t>
      </w:r>
      <w:r>
        <w:rPr>
          <w:rFonts w:hint="eastAsia"/>
          <w:color w:val="auto"/>
        </w:rPr>
        <w:t>处，滑坡6处，地面塌陷2处；东关镇15处，其中崩塌6处，滑坡4处，泥石流2处，地面塌陷3；桥头镇15处，其中崩塌8处，滑坡4处，地面塌陷3处；腰庄乡13处，其中崩塌6处，滑坡2处，地面塌陷5处；林遮峪乡8处，其中崩塌6处，滑坡2处；南河沟乡6处，其中崩塌1处，滑坡1处，地面塌陷4处；韩家川乡5处均为崩塌；杨家湾镇4处，其中崩塌3处，滑坡1处；土崖塔乡1处为滑坡。</w:t>
      </w:r>
    </w:p>
    <w:p>
      <w:pPr>
        <w:pStyle w:val="4"/>
        <w:ind w:firstLine="643"/>
        <w:rPr>
          <w:color w:val="auto"/>
        </w:rPr>
      </w:pPr>
      <w:bookmarkStart w:id="3" w:name="_Toc6169"/>
      <w:r>
        <w:rPr>
          <w:rFonts w:hint="eastAsia"/>
          <w:color w:val="auto"/>
        </w:rPr>
        <w:t>（二）“十三五”防治成效</w:t>
      </w:r>
      <w:bookmarkEnd w:id="3"/>
    </w:p>
    <w:p>
      <w:pPr>
        <w:rPr>
          <w:color w:val="auto"/>
        </w:rPr>
      </w:pPr>
      <w:r>
        <w:rPr>
          <w:rFonts w:hint="eastAsia"/>
          <w:color w:val="auto"/>
        </w:rPr>
        <w:t>“十三五”期间，面对严峻复杂的地质灾害防治形势，县政府高度重视，坚持依法依规防灾，加大资金投入，推进科技创新，上下密切配合，地质灾害防治工作取得了显著成绩，确定</w:t>
      </w:r>
      <w:r>
        <w:rPr>
          <w:rFonts w:hint="eastAsia"/>
          <w:color w:val="auto"/>
          <w:lang w:val="en-US" w:eastAsia="zh-CN"/>
        </w:rPr>
        <w:t>了</w:t>
      </w:r>
      <w:r>
        <w:rPr>
          <w:rFonts w:hint="eastAsia"/>
          <w:color w:val="auto"/>
        </w:rPr>
        <w:t>主要目标任务，地质灾害防治工作取得显著成效。</w:t>
      </w:r>
    </w:p>
    <w:p>
      <w:pPr>
        <w:ind w:firstLine="643"/>
        <w:rPr>
          <w:b/>
          <w:color w:val="auto"/>
        </w:rPr>
      </w:pPr>
      <w:r>
        <w:rPr>
          <w:b/>
          <w:color w:val="auto"/>
        </w:rPr>
        <w:t>1</w:t>
      </w:r>
      <w:r>
        <w:rPr>
          <w:rFonts w:hint="eastAsia"/>
          <w:b/>
          <w:color w:val="auto"/>
        </w:rPr>
        <w:t>、地质灾害调查评价</w:t>
      </w:r>
    </w:p>
    <w:p>
      <w:pPr>
        <w:rPr>
          <w:color w:val="auto"/>
        </w:rPr>
      </w:pPr>
      <w:r>
        <w:rPr>
          <w:color w:val="auto"/>
        </w:rPr>
        <w:t>2017</w:t>
      </w:r>
      <w:r>
        <w:rPr>
          <w:rFonts w:hint="eastAsia"/>
          <w:color w:val="auto"/>
        </w:rPr>
        <w:t>年7月由</w:t>
      </w:r>
      <w:r>
        <w:rPr>
          <w:rFonts w:hint="eastAsia"/>
          <w:color w:val="auto"/>
          <w:lang w:val="en-US" w:eastAsia="zh-CN"/>
        </w:rPr>
        <w:t>山西冶金岩土勘察总公司</w:t>
      </w:r>
      <w:r>
        <w:rPr>
          <w:rFonts w:hint="eastAsia"/>
          <w:color w:val="auto"/>
        </w:rPr>
        <w:t>完成了</w:t>
      </w:r>
      <w:r>
        <w:rPr>
          <w:color w:val="auto"/>
        </w:rPr>
        <w:t>保德县地质灾害详细调查工作</w:t>
      </w:r>
      <w:r>
        <w:rPr>
          <w:rFonts w:hint="eastAsia"/>
          <w:color w:val="auto"/>
        </w:rPr>
        <w:t>，</w:t>
      </w:r>
      <w:r>
        <w:rPr>
          <w:color w:val="auto"/>
        </w:rPr>
        <w:t>并</w:t>
      </w:r>
      <w:r>
        <w:rPr>
          <w:rFonts w:hint="eastAsia"/>
          <w:color w:val="auto"/>
        </w:rPr>
        <w:t>编制提交了《</w:t>
      </w:r>
      <w:r>
        <w:rPr>
          <w:color w:val="auto"/>
        </w:rPr>
        <w:t>山西省保德县地质灾害详细调查报</w:t>
      </w:r>
      <w:r>
        <w:rPr>
          <w:color w:val="auto"/>
          <w:highlight w:val="none"/>
        </w:rPr>
        <w:t>告</w:t>
      </w:r>
      <w:r>
        <w:rPr>
          <w:rFonts w:hint="eastAsia"/>
          <w:color w:val="auto"/>
          <w:highlight w:val="none"/>
        </w:rPr>
        <w:t>》。全县共计完成了</w:t>
      </w:r>
      <w:r>
        <w:rPr>
          <w:color w:val="auto"/>
          <w:highlight w:val="none"/>
        </w:rPr>
        <w:t>调查、核查地质灾害（隐患）点 132 处，</w:t>
      </w:r>
      <w:r>
        <w:rPr>
          <w:rFonts w:hint="eastAsia"/>
          <w:color w:val="auto"/>
          <w:highlight w:val="none"/>
          <w:lang w:val="en-US" w:eastAsia="zh-CN"/>
        </w:rPr>
        <w:t>2017年底</w:t>
      </w:r>
      <w:r>
        <w:rPr>
          <w:color w:val="auto"/>
          <w:highlight w:val="none"/>
        </w:rPr>
        <w:t>确定地质灾害及隐患点 110 处</w:t>
      </w:r>
      <w:r>
        <w:rPr>
          <w:rFonts w:hint="eastAsia"/>
          <w:color w:val="auto"/>
        </w:rPr>
        <w:t>。</w:t>
      </w:r>
      <w:r>
        <w:rPr>
          <w:rFonts w:hint="eastAsia"/>
          <w:color w:val="auto"/>
          <w:lang w:val="en-US" w:eastAsia="zh-CN"/>
        </w:rPr>
        <w:t>在</w:t>
      </w:r>
      <w:r>
        <w:rPr>
          <w:rFonts w:hint="eastAsia"/>
          <w:color w:val="auto"/>
        </w:rPr>
        <w:t>“十</w:t>
      </w:r>
      <w:r>
        <w:rPr>
          <w:rFonts w:hint="eastAsia"/>
          <w:color w:val="auto"/>
          <w:lang w:val="en-US" w:eastAsia="zh-CN"/>
        </w:rPr>
        <w:t>三</w:t>
      </w:r>
      <w:r>
        <w:rPr>
          <w:rFonts w:hint="eastAsia"/>
          <w:color w:val="auto"/>
        </w:rPr>
        <w:t>五”期间</w:t>
      </w:r>
      <w:r>
        <w:rPr>
          <w:rFonts w:hint="eastAsia"/>
          <w:color w:val="auto"/>
          <w:lang w:val="en-US" w:eastAsia="zh-CN"/>
        </w:rPr>
        <w:t>完成消除在库地质灾害隐患点5处（规模、险情等级为小型）</w:t>
      </w:r>
      <w:r>
        <w:rPr>
          <w:rFonts w:hint="eastAsia"/>
          <w:color w:val="auto"/>
          <w:lang w:eastAsia="zh-CN"/>
        </w:rPr>
        <w:t>，</w:t>
      </w:r>
      <w:r>
        <w:rPr>
          <w:rFonts w:hint="eastAsia"/>
          <w:color w:val="auto"/>
          <w:lang w:val="en-US" w:eastAsia="zh-CN"/>
        </w:rPr>
        <w:t>2021年初</w:t>
      </w:r>
      <w:r>
        <w:rPr>
          <w:color w:val="auto"/>
        </w:rPr>
        <w:t xml:space="preserve">确定地质灾害及隐患点 </w:t>
      </w:r>
      <w:r>
        <w:rPr>
          <w:rFonts w:hint="eastAsia"/>
          <w:color w:val="auto"/>
          <w:lang w:val="en-US" w:eastAsia="zh-CN"/>
        </w:rPr>
        <w:t>105</w:t>
      </w:r>
      <w:r>
        <w:rPr>
          <w:color w:val="auto"/>
        </w:rPr>
        <w:t xml:space="preserve"> 处</w:t>
      </w:r>
      <w:r>
        <w:rPr>
          <w:rFonts w:hint="eastAsia"/>
          <w:color w:val="auto"/>
          <w:lang w:eastAsia="zh-CN"/>
        </w:rPr>
        <w:t>。</w:t>
      </w:r>
      <w:r>
        <w:rPr>
          <w:rFonts w:hint="eastAsia"/>
          <w:color w:val="auto"/>
        </w:rPr>
        <w:t>“十三五”期间完成了新增地质灾害隐患点核查工作及地质灾害年度“三查”（汛前排查、汛中检查、汛后核查）工作，累计排查巡查地质灾害隐患点10880</w:t>
      </w:r>
      <w:r>
        <w:rPr>
          <w:rFonts w:hint="eastAsia"/>
          <w:color w:val="auto"/>
          <w:lang w:val="en-US" w:eastAsia="zh-CN"/>
        </w:rPr>
        <w:t>次</w:t>
      </w:r>
      <w:r>
        <w:rPr>
          <w:rFonts w:hint="eastAsia"/>
          <w:color w:val="auto"/>
        </w:rPr>
        <w:t>，准确掌握了全县地质灾害隐患的分布、规模、数量、发育程度、分布特征、危害程度及危险性，完善更新地质灾害隐患点数据库，为地质灾害防治工作奠定了坚实基础。</w:t>
      </w:r>
    </w:p>
    <w:p>
      <w:pPr>
        <w:ind w:firstLine="643"/>
        <w:rPr>
          <w:b/>
          <w:color w:val="auto"/>
        </w:rPr>
      </w:pPr>
      <w:r>
        <w:rPr>
          <w:b/>
          <w:color w:val="auto"/>
        </w:rPr>
        <w:t>2</w:t>
      </w:r>
      <w:r>
        <w:rPr>
          <w:rFonts w:hint="eastAsia"/>
          <w:b/>
          <w:color w:val="auto"/>
        </w:rPr>
        <w:t>、地质灾害监测预警</w:t>
      </w:r>
    </w:p>
    <w:p>
      <w:pPr>
        <w:rPr>
          <w:color w:val="auto"/>
        </w:rPr>
      </w:pPr>
      <w:r>
        <w:rPr>
          <w:rFonts w:hint="eastAsia"/>
          <w:color w:val="auto"/>
        </w:rPr>
        <w:t>“十三五”期间建成了县、乡</w:t>
      </w:r>
      <w:r>
        <w:rPr>
          <w:color w:val="auto"/>
        </w:rPr>
        <w:t>(</w:t>
      </w:r>
      <w:r>
        <w:rPr>
          <w:rFonts w:hint="eastAsia"/>
          <w:color w:val="auto"/>
        </w:rPr>
        <w:t>镇</w:t>
      </w:r>
      <w:r>
        <w:rPr>
          <w:color w:val="auto"/>
        </w:rPr>
        <w:t>)</w:t>
      </w:r>
      <w:r>
        <w:rPr>
          <w:rFonts w:hint="eastAsia"/>
          <w:color w:val="auto"/>
        </w:rPr>
        <w:t>、村三级地质灾害群测群防监测预警体系，</w:t>
      </w:r>
      <w:r>
        <w:rPr>
          <w:rFonts w:hint="eastAsia"/>
          <w:color w:val="auto"/>
          <w:lang w:val="en-US" w:eastAsia="zh-CN"/>
        </w:rPr>
        <w:t>期间共</w:t>
      </w:r>
      <w:r>
        <w:rPr>
          <w:rFonts w:hint="eastAsia"/>
          <w:color w:val="auto"/>
        </w:rPr>
        <w:t>发放了地质灾害防灾工作明白卡</w:t>
      </w:r>
      <w:r>
        <w:rPr>
          <w:rFonts w:hint="eastAsia"/>
          <w:color w:val="auto"/>
          <w:lang w:val="en-US" w:eastAsia="zh-CN"/>
        </w:rPr>
        <w:t>545</w:t>
      </w:r>
      <w:r>
        <w:rPr>
          <w:rFonts w:hint="eastAsia"/>
          <w:color w:val="auto"/>
        </w:rPr>
        <w:t>份、防灾避险明白卡</w:t>
      </w:r>
      <w:r>
        <w:rPr>
          <w:rFonts w:hint="eastAsia"/>
          <w:color w:val="auto"/>
          <w:lang w:val="en-US" w:eastAsia="zh-CN"/>
        </w:rPr>
        <w:t>545</w:t>
      </w:r>
      <w:r>
        <w:rPr>
          <w:rFonts w:hint="eastAsia"/>
          <w:color w:val="auto"/>
        </w:rPr>
        <w:t xml:space="preserve">份和防灾预案表“两卡一表” </w:t>
      </w:r>
      <w:r>
        <w:rPr>
          <w:rFonts w:hint="eastAsia"/>
          <w:color w:val="auto"/>
          <w:lang w:val="en-US" w:eastAsia="zh-CN"/>
        </w:rPr>
        <w:t>545</w:t>
      </w:r>
      <w:r>
        <w:rPr>
          <w:rFonts w:hint="eastAsia"/>
          <w:color w:val="auto"/>
        </w:rPr>
        <w:t>份，编制了地质灾害隐患点监测方案表，明确责任单位、责任人、监测人。建立了地质灾害气象风险预警系统，累计发布地质灾害气象</w:t>
      </w:r>
      <w:r>
        <w:rPr>
          <w:rFonts w:hint="eastAsia"/>
          <w:color w:val="auto"/>
          <w:lang w:val="en-US" w:eastAsia="zh-CN"/>
        </w:rPr>
        <w:t>风险</w:t>
      </w:r>
      <w:r>
        <w:rPr>
          <w:rFonts w:hint="eastAsia"/>
          <w:color w:val="auto"/>
        </w:rPr>
        <w:t>预警30次。避免了</w:t>
      </w:r>
      <w:r>
        <w:rPr>
          <w:rFonts w:hint="eastAsia"/>
          <w:color w:val="auto"/>
          <w:lang w:val="en-US" w:eastAsia="zh-CN"/>
        </w:rPr>
        <w:t>居民、</w:t>
      </w:r>
      <w:r>
        <w:rPr>
          <w:rFonts w:hint="eastAsia"/>
          <w:color w:val="auto"/>
        </w:rPr>
        <w:t>车辆及行人遭受地质灾害危害。</w:t>
      </w:r>
    </w:p>
    <w:p>
      <w:pPr>
        <w:ind w:firstLine="643"/>
        <w:rPr>
          <w:b/>
          <w:color w:val="auto"/>
        </w:rPr>
      </w:pPr>
      <w:r>
        <w:rPr>
          <w:b/>
          <w:color w:val="auto"/>
        </w:rPr>
        <w:t>3</w:t>
      </w:r>
      <w:r>
        <w:rPr>
          <w:rFonts w:hint="eastAsia"/>
          <w:b/>
          <w:color w:val="auto"/>
        </w:rPr>
        <w:t>、</w:t>
      </w:r>
      <w:r>
        <w:rPr>
          <w:rFonts w:hint="eastAsia"/>
          <w:b/>
          <w:color w:val="auto"/>
          <w:lang w:eastAsia="zh-CN"/>
        </w:rPr>
        <w:t>“</w:t>
      </w:r>
      <w:r>
        <w:rPr>
          <w:rFonts w:hint="eastAsia"/>
          <w:b/>
          <w:color w:val="auto"/>
          <w:lang w:val="en-US" w:eastAsia="zh-CN"/>
        </w:rPr>
        <w:t>十三五</w:t>
      </w:r>
      <w:r>
        <w:rPr>
          <w:rFonts w:hint="eastAsia"/>
          <w:b/>
          <w:color w:val="auto"/>
          <w:lang w:eastAsia="zh-CN"/>
        </w:rPr>
        <w:t>”</w:t>
      </w:r>
      <w:r>
        <w:rPr>
          <w:rFonts w:hint="eastAsia"/>
          <w:b/>
          <w:color w:val="auto"/>
          <w:lang w:val="en-US" w:eastAsia="zh-CN"/>
        </w:rPr>
        <w:t>期间</w:t>
      </w:r>
      <w:r>
        <w:rPr>
          <w:rFonts w:hint="eastAsia"/>
          <w:b/>
          <w:color w:val="auto"/>
        </w:rPr>
        <w:t>地质灾害综合治理</w:t>
      </w:r>
    </w:p>
    <w:p>
      <w:pPr>
        <w:rPr>
          <w:rFonts w:hint="default" w:eastAsia="仿宋"/>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地质灾害治理项目</w:t>
      </w:r>
    </w:p>
    <w:p>
      <w:pPr>
        <w:rPr>
          <w:rFonts w:hint="eastAsia"/>
          <w:color w:val="auto"/>
        </w:rPr>
      </w:pPr>
      <w:r>
        <w:rPr>
          <w:rFonts w:hint="eastAsia"/>
          <w:color w:val="auto"/>
        </w:rPr>
        <w:t>“十三五”期间先后开展了保德县城区徐孩沟地质灾害隐患治理项目、刘家坡崩塌地质灾害应急治理项目、永宁寺崩塌地质灾害应急治理项目、龙驼沟崩塌地质灾害应急治理，项目</w:t>
      </w:r>
      <w:r>
        <w:rPr>
          <w:rFonts w:hint="eastAsia"/>
          <w:color w:val="auto"/>
          <w:lang w:val="en-US" w:eastAsia="zh-CN"/>
        </w:rPr>
        <w:t>4</w:t>
      </w:r>
      <w:r>
        <w:rPr>
          <w:rFonts w:hint="eastAsia"/>
          <w:color w:val="auto"/>
        </w:rPr>
        <w:t>项（期）地质灾害综合治理工程，受益人数约1300余人。</w:t>
      </w:r>
    </w:p>
    <w:p>
      <w:pPr>
        <w:rPr>
          <w:rFonts w:hint="default" w:eastAsia="仿宋"/>
          <w:color w:val="auto"/>
          <w:lang w:val="en-US" w:eastAsia="zh-CN"/>
        </w:rPr>
      </w:pPr>
      <w:r>
        <w:rPr>
          <w:rFonts w:hint="eastAsia"/>
          <w:color w:val="auto"/>
          <w:lang w:val="en-US" w:eastAsia="zh-CN"/>
        </w:rPr>
        <w:t>上述工程只有</w:t>
      </w:r>
      <w:r>
        <w:rPr>
          <w:rFonts w:hint="eastAsia"/>
          <w:color w:val="auto"/>
        </w:rPr>
        <w:t>徐孩沟地质灾害隐患治理项目</w:t>
      </w:r>
      <w:r>
        <w:rPr>
          <w:rFonts w:hint="eastAsia"/>
          <w:color w:val="auto"/>
          <w:lang w:val="en-US" w:eastAsia="zh-CN"/>
        </w:rPr>
        <w:t>为地质灾害隐患点。</w:t>
      </w:r>
    </w:p>
    <w:p>
      <w:pPr>
        <w:rPr>
          <w:rFonts w:hint="eastAsia" w:eastAsia="仿宋"/>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扶贫易地搬迁</w:t>
      </w:r>
      <w:r>
        <w:rPr>
          <w:rFonts w:hint="eastAsia"/>
          <w:color w:val="auto"/>
          <w:lang w:val="en-US" w:eastAsia="zh-CN"/>
        </w:rPr>
        <w:t>项目</w:t>
      </w:r>
    </w:p>
    <w:p>
      <w:pPr>
        <w:rPr>
          <w:rFonts w:hint="default" w:eastAsia="仿宋"/>
          <w:color w:val="auto"/>
          <w:lang w:val="en-US" w:eastAsia="zh-CN"/>
        </w:rPr>
      </w:pPr>
      <w:r>
        <w:rPr>
          <w:rFonts w:hint="eastAsia"/>
          <w:color w:val="auto"/>
        </w:rPr>
        <w:t>另外</w:t>
      </w:r>
      <w:r>
        <w:rPr>
          <w:color w:val="auto"/>
        </w:rPr>
        <w:t>完成了</w:t>
      </w:r>
      <w:r>
        <w:rPr>
          <w:rFonts w:hint="eastAsia"/>
          <w:color w:val="auto"/>
        </w:rPr>
        <w:t>土崖塔乡</w:t>
      </w:r>
      <w:r>
        <w:rPr>
          <w:color w:val="auto"/>
        </w:rPr>
        <w:t>冯家塔</w:t>
      </w:r>
      <w:r>
        <w:rPr>
          <w:rFonts w:hint="eastAsia"/>
          <w:color w:val="auto"/>
        </w:rPr>
        <w:t>村、土崖塔乡</w:t>
      </w:r>
      <w:r>
        <w:rPr>
          <w:color w:val="auto"/>
        </w:rPr>
        <w:t>田家塔</w:t>
      </w:r>
      <w:r>
        <w:rPr>
          <w:rFonts w:hint="eastAsia"/>
          <w:color w:val="auto"/>
        </w:rPr>
        <w:t>村、冯家川乡</w:t>
      </w:r>
      <w:r>
        <w:rPr>
          <w:color w:val="auto"/>
        </w:rPr>
        <w:t>韩家里</w:t>
      </w:r>
      <w:r>
        <w:rPr>
          <w:rFonts w:hint="eastAsia"/>
          <w:color w:val="auto"/>
        </w:rPr>
        <w:t>村、杨家湾镇</w:t>
      </w:r>
      <w:r>
        <w:rPr>
          <w:color w:val="auto"/>
        </w:rPr>
        <w:t>西阳塔</w:t>
      </w:r>
      <w:r>
        <w:rPr>
          <w:rFonts w:hint="eastAsia"/>
          <w:color w:val="auto"/>
        </w:rPr>
        <w:t>村长梁、杨家湾镇崔家塔村、孙家沟镇</w:t>
      </w:r>
      <w:r>
        <w:rPr>
          <w:color w:val="auto"/>
        </w:rPr>
        <w:t>羊路河</w:t>
      </w:r>
      <w:r>
        <w:rPr>
          <w:rFonts w:hint="eastAsia"/>
          <w:color w:val="auto"/>
        </w:rPr>
        <w:t>村6处搬迁工程</w:t>
      </w:r>
      <w:r>
        <w:rPr>
          <w:rFonts w:hint="eastAsia"/>
          <w:color w:val="auto"/>
          <w:lang w:eastAsia="zh-CN"/>
        </w:rPr>
        <w:t>，</w:t>
      </w:r>
      <w:r>
        <w:rPr>
          <w:rFonts w:hint="eastAsia"/>
          <w:color w:val="auto"/>
          <w:lang w:val="en-US" w:eastAsia="zh-CN"/>
        </w:rPr>
        <w:t>共搬迁74人</w:t>
      </w:r>
      <w:r>
        <w:rPr>
          <w:rFonts w:hint="eastAsia"/>
          <w:color w:val="auto"/>
        </w:rPr>
        <w:t>。</w:t>
      </w:r>
      <w:r>
        <w:rPr>
          <w:rFonts w:hint="eastAsia"/>
          <w:color w:val="auto"/>
          <w:lang w:val="en-US" w:eastAsia="zh-CN"/>
        </w:rPr>
        <w:t>上述工程均为地质灾害隐患点。</w:t>
      </w:r>
    </w:p>
    <w:p>
      <w:pPr>
        <w:rPr>
          <w:rFonts w:hint="eastAsia" w:eastAsia="仿宋"/>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采煤沉陷区搬迁治理工程</w:t>
      </w:r>
    </w:p>
    <w:p>
      <w:pPr>
        <w:rPr>
          <w:rFonts w:hint="eastAsia" w:eastAsia="仿宋"/>
          <w:color w:val="auto"/>
          <w:lang w:val="en-US" w:eastAsia="zh-CN"/>
        </w:rPr>
      </w:pPr>
      <w:r>
        <w:rPr>
          <w:rFonts w:hint="eastAsia"/>
          <w:color w:val="auto"/>
        </w:rPr>
        <w:t>腰庄乡</w:t>
      </w:r>
      <w:r>
        <w:rPr>
          <w:color w:val="auto"/>
        </w:rPr>
        <w:t>徐家沟</w:t>
      </w:r>
      <w:r>
        <w:rPr>
          <w:rFonts w:hint="eastAsia"/>
          <w:color w:val="auto"/>
        </w:rPr>
        <w:t>村、腰庄乡外盘塔村2处搬迁治理工程。</w:t>
      </w:r>
      <w:r>
        <w:rPr>
          <w:rFonts w:hint="eastAsia"/>
          <w:color w:val="auto"/>
          <w:lang w:val="en-US" w:eastAsia="zh-CN"/>
        </w:rPr>
        <w:t>上述工程</w:t>
      </w:r>
      <w:r>
        <w:rPr>
          <w:rFonts w:hint="eastAsia"/>
          <w:color w:val="auto"/>
        </w:rPr>
        <w:t>腰庄乡外盘塔村</w:t>
      </w:r>
      <w:r>
        <w:rPr>
          <w:rFonts w:hint="eastAsia"/>
          <w:color w:val="auto"/>
          <w:lang w:val="en-US" w:eastAsia="zh-CN"/>
        </w:rPr>
        <w:t>为地质灾害隐患点。</w:t>
      </w:r>
    </w:p>
    <w:p>
      <w:pPr>
        <w:ind w:firstLine="643"/>
        <w:rPr>
          <w:b/>
          <w:color w:val="auto"/>
        </w:rPr>
      </w:pPr>
      <w:r>
        <w:rPr>
          <w:b/>
          <w:color w:val="auto"/>
        </w:rPr>
        <w:t>4</w:t>
      </w:r>
      <w:r>
        <w:rPr>
          <w:rFonts w:hint="eastAsia"/>
          <w:b/>
          <w:color w:val="auto"/>
        </w:rPr>
        <w:t>、地质灾害应急防治</w:t>
      </w:r>
    </w:p>
    <w:p>
      <w:pPr>
        <w:rPr>
          <w:color w:val="auto"/>
        </w:rPr>
      </w:pPr>
      <w:r>
        <w:rPr>
          <w:rFonts w:hint="eastAsia"/>
          <w:color w:val="auto"/>
        </w:rPr>
        <w:t>按照“预防为主，防治结合”的原则，一是建立了以分管副县长为组长，以自然、住建、交通、水利、应急、气象、民政、财政及相关机构为成员的地质灾害防治领导组；二是建立地质灾害应急指挥部，为突发性地质灾害的应急抢险救灾提供组织保障；三是建立地质灾害防治监测责任体系；四是制定并实施《年度地质灾害防治方案》和《突发性地质灾害应急预案》；五是制定并实施汛期地质灾害巡查、监测、汛期值班制度和灾险速报制度。</w:t>
      </w:r>
    </w:p>
    <w:p>
      <w:pPr>
        <w:rPr>
          <w:color w:val="auto"/>
        </w:rPr>
      </w:pPr>
      <w:r>
        <w:rPr>
          <w:rFonts w:hint="eastAsia"/>
          <w:color w:val="auto"/>
        </w:rPr>
        <w:t>“十三五”期间，县自然资源局长期聘请</w:t>
      </w:r>
      <w:r>
        <w:rPr>
          <w:rFonts w:hint="eastAsia"/>
          <w:color w:val="auto"/>
          <w:lang w:val="en-US" w:eastAsia="zh-CN"/>
        </w:rPr>
        <w:t>技术支撑单位</w:t>
      </w:r>
      <w:r>
        <w:rPr>
          <w:rFonts w:hint="eastAsia"/>
          <w:color w:val="auto"/>
        </w:rPr>
        <w:t>参与保德县地质灾害防治工作，对保德县地质灾害防治工作给予专业指导。期间开展地质灾害应急避险演练17余次，参加人数777人，地质灾害应急处置能力逐步加强。</w:t>
      </w:r>
    </w:p>
    <w:p>
      <w:pPr>
        <w:ind w:firstLine="643"/>
        <w:rPr>
          <w:b/>
          <w:color w:val="auto"/>
        </w:rPr>
      </w:pPr>
      <w:r>
        <w:rPr>
          <w:b/>
          <w:color w:val="auto"/>
        </w:rPr>
        <w:t>5</w:t>
      </w:r>
      <w:r>
        <w:rPr>
          <w:rFonts w:hint="eastAsia"/>
          <w:b/>
          <w:color w:val="auto"/>
        </w:rPr>
        <w:t>、地质灾害防治宣传</w:t>
      </w:r>
    </w:p>
    <w:p>
      <w:pPr>
        <w:rPr>
          <w:color w:val="auto"/>
        </w:rPr>
      </w:pPr>
      <w:r>
        <w:rPr>
          <w:rFonts w:hint="eastAsia"/>
          <w:color w:val="auto"/>
        </w:rPr>
        <w:t>通过开展基层“五到位”（评估、巡查、预案、宣传、人员）宣传培训活动和县、乡、村地质灾害防治责任人、监测责任人、监测员防灾减灾知识宣传教育以及相关人员的培训活动，增强了他们的防灾减灾的责任意识。</w:t>
      </w:r>
    </w:p>
    <w:p>
      <w:pPr>
        <w:rPr>
          <w:color w:val="auto"/>
        </w:rPr>
      </w:pPr>
      <w:r>
        <w:rPr>
          <w:rFonts w:hint="eastAsia"/>
          <w:color w:val="auto"/>
        </w:rPr>
        <w:t>对有地质灾害隐患点（村、公路段、铁路段、学校、医院、施工区、工矿企业等）附近群众进行宣传培训工作。累计开展培训次数10次，参加培训人员712人。此外，每年的“地球日”、“土地日”、“防灾减灾日”，充分利用广播、电视、报刊、手机短信、微信等媒体进行地质灾害防治法规条例及知识宣传，全面提升了人们的防灾减灾意识和避灾能力，累计开展宣传22次，发放相关材料48000份。</w:t>
      </w:r>
    </w:p>
    <w:p>
      <w:pPr>
        <w:pStyle w:val="4"/>
        <w:ind w:firstLine="643"/>
        <w:rPr>
          <w:rFonts w:hint="default" w:eastAsia="楷体"/>
          <w:color w:val="auto"/>
          <w:lang w:val="en-US" w:eastAsia="zh-CN"/>
        </w:rPr>
      </w:pPr>
      <w:bookmarkStart w:id="4" w:name="_Toc18331"/>
      <w:r>
        <w:rPr>
          <w:rFonts w:hint="eastAsia"/>
          <w:color w:val="auto"/>
        </w:rPr>
        <w:t>（三）“十四五”</w:t>
      </w:r>
      <w:r>
        <w:rPr>
          <w:rFonts w:hint="eastAsia"/>
          <w:color w:val="auto"/>
          <w:lang w:val="en-US" w:eastAsia="zh-CN"/>
        </w:rPr>
        <w:t>地质灾害防治形势</w:t>
      </w:r>
      <w:bookmarkEnd w:id="4"/>
    </w:p>
    <w:p>
      <w:pPr>
        <w:rPr>
          <w:rFonts w:hint="default" w:eastAsia="仿宋"/>
          <w:b/>
          <w:bCs/>
          <w:color w:val="auto"/>
          <w:lang w:val="en-US" w:eastAsia="zh-CN"/>
        </w:rPr>
      </w:pPr>
      <w:r>
        <w:rPr>
          <w:rFonts w:hint="eastAsia"/>
          <w:b/>
          <w:bCs/>
          <w:color w:val="auto"/>
          <w:lang w:val="en-US" w:eastAsia="zh-CN"/>
        </w:rPr>
        <w:t>1、防治成效</w:t>
      </w:r>
    </w:p>
    <w:p>
      <w:pPr>
        <w:rPr>
          <w:color w:val="auto"/>
        </w:rPr>
      </w:pPr>
      <w:r>
        <w:rPr>
          <w:rFonts w:hint="eastAsia"/>
          <w:color w:val="auto"/>
        </w:rPr>
        <w:t>近年来保德县地质灾害防治工作虽然取得了较大的成效，但防灾工作仍然面临严峻形势，主要表现为以下五个方面：</w:t>
      </w:r>
    </w:p>
    <w:p>
      <w:pPr>
        <w:rPr>
          <w:color w:val="auto"/>
        </w:rPr>
      </w:pPr>
      <w:r>
        <w:rPr>
          <w:rFonts w:hint="eastAsia"/>
          <w:color w:val="auto"/>
          <w:lang w:val="en-US" w:eastAsia="zh-CN"/>
        </w:rPr>
        <w:t>1、</w:t>
      </w:r>
      <w:r>
        <w:rPr>
          <w:rFonts w:hint="eastAsia"/>
          <w:color w:val="auto"/>
        </w:rPr>
        <w:t>地质灾害详细调查工作虽已全面完成，但由于近几年采矿、修路、建房切坡等人类工程活动发展迅速，境内地质环境条件改变较大，已不能适应当前地质灾害防治形势。且上一轮地质灾害详细调查对区域地质灾害孕灾地质条件及承灾体调查较少，缺少地质灾害成灾模式的总结，现有地质灾害相关成果缺少地质灾害风险管控对策建议，不能为防灾减灾管理、国土空间规划和用途管制提供准确依据。</w:t>
      </w:r>
    </w:p>
    <w:p>
      <w:pPr>
        <w:rPr>
          <w:color w:val="auto"/>
        </w:rPr>
      </w:pPr>
      <w:r>
        <w:rPr>
          <w:rFonts w:hint="eastAsia"/>
          <w:color w:val="auto"/>
          <w:lang w:val="en-US" w:eastAsia="zh-CN"/>
        </w:rPr>
        <w:t>2、</w:t>
      </w:r>
      <w:r>
        <w:rPr>
          <w:rFonts w:hint="eastAsia"/>
          <w:color w:val="auto"/>
        </w:rPr>
        <w:t>地质灾害群测群防监测体系虽已初步建立，但存在灾害监测人员水平有限，监测预警技术手段还不够先进，地质灾害调查监测数据采集与处理分析能力有待进一步加强。县域内仍有不少地质灾害隐患威胁着人民生命财产安全，地质灾害治理与国土空间规划、生态保护修复等有待统筹谋划，提高工程治理和搬迁避让成效。</w:t>
      </w:r>
    </w:p>
    <w:p>
      <w:pPr>
        <w:rPr>
          <w:color w:val="auto"/>
        </w:rPr>
      </w:pPr>
      <w:r>
        <w:rPr>
          <w:rFonts w:hint="eastAsia"/>
          <w:color w:val="auto"/>
          <w:lang w:val="en-US" w:eastAsia="zh-CN"/>
        </w:rPr>
        <w:t>3、</w:t>
      </w:r>
      <w:r>
        <w:rPr>
          <w:rFonts w:hint="eastAsia"/>
          <w:color w:val="auto"/>
        </w:rPr>
        <w:t>保德县地质灾害隐患点多面广，危害严重，地质灾害治理任务十分艰巨，一些威胁人民生命财产的重要地质灾害隐患点亟待勘查，并采取工程措施进行治理；地质灾害防治资金投入机制不完善，资金投入不足。目前地质灾害防治资金投入渠道单一，基本仍以政府财政投入为主，还未形成政府、企业、个人共同投入的多元投入格局。</w:t>
      </w:r>
    </w:p>
    <w:p>
      <w:pPr>
        <w:rPr>
          <w:color w:val="auto"/>
        </w:rPr>
      </w:pPr>
      <w:r>
        <w:rPr>
          <w:rFonts w:hint="eastAsia"/>
          <w:color w:val="auto"/>
          <w:lang w:val="en-US" w:eastAsia="zh-CN"/>
        </w:rPr>
        <w:t>4、</w:t>
      </w:r>
      <w:r>
        <w:rPr>
          <w:rFonts w:hint="eastAsia"/>
          <w:color w:val="auto"/>
        </w:rPr>
        <w:t>地质灾害防治工作基础薄弱，技术水平不高，突发性地质灾害应急反应能力有待进一步提高。</w:t>
      </w:r>
    </w:p>
    <w:p>
      <w:pPr>
        <w:rPr>
          <w:rFonts w:hint="eastAsia"/>
          <w:color w:val="auto"/>
        </w:rPr>
      </w:pPr>
      <w:r>
        <w:rPr>
          <w:rFonts w:hint="eastAsia"/>
          <w:color w:val="auto"/>
          <w:lang w:val="en-US" w:eastAsia="zh-CN"/>
        </w:rPr>
        <w:t>5、</w:t>
      </w:r>
      <w:r>
        <w:rPr>
          <w:rFonts w:hint="eastAsia"/>
          <w:color w:val="auto"/>
        </w:rPr>
        <w:t>社会公众防灾减灾知识需要继续普及，“只重救灾，不重防灾”的现象有不同程度存在，防灾减灾宣传力度尚需加强；许多群众缺乏必要的地质灾害防治知识，防灾减灾意识不高，能力不强，存在麻痹侥幸心理和依赖政府统包统揽的思想。</w:t>
      </w:r>
    </w:p>
    <w:p>
      <w:pPr>
        <w:rPr>
          <w:rFonts w:hint="default"/>
          <w:b/>
          <w:bCs/>
          <w:color w:val="auto"/>
          <w:lang w:val="en-US" w:eastAsia="zh-CN"/>
        </w:rPr>
      </w:pPr>
      <w:r>
        <w:rPr>
          <w:rFonts w:hint="eastAsia"/>
          <w:b/>
          <w:bCs/>
          <w:color w:val="auto"/>
          <w:lang w:val="en-US" w:eastAsia="zh-CN"/>
        </w:rPr>
        <w:t>2、“十四五”地质灾害防治工程</w:t>
      </w:r>
    </w:p>
    <w:p>
      <w:pPr>
        <w:rPr>
          <w:rFonts w:hint="eastAsia"/>
          <w:color w:val="auto"/>
        </w:rPr>
      </w:pPr>
      <w:r>
        <w:rPr>
          <w:rFonts w:hint="eastAsia"/>
          <w:color w:val="auto"/>
        </w:rPr>
        <w:t>桥头镇炭峪沟村</w:t>
      </w:r>
      <w:r>
        <w:rPr>
          <w:color w:val="auto"/>
        </w:rPr>
        <w:t>张兰英家</w:t>
      </w:r>
      <w:r>
        <w:rPr>
          <w:rFonts w:hint="eastAsia"/>
          <w:color w:val="auto"/>
        </w:rPr>
        <w:t>1处</w:t>
      </w:r>
      <w:r>
        <w:rPr>
          <w:rFonts w:hint="eastAsia"/>
          <w:color w:val="auto"/>
          <w:lang w:val="en-US" w:eastAsia="zh-CN"/>
        </w:rPr>
        <w:t>3户</w:t>
      </w:r>
      <w:r>
        <w:rPr>
          <w:rFonts w:hint="eastAsia"/>
          <w:color w:val="auto"/>
        </w:rPr>
        <w:t>为</w:t>
      </w:r>
      <w:r>
        <w:rPr>
          <w:rFonts w:hint="eastAsia"/>
          <w:color w:val="auto"/>
          <w:lang w:val="en-US" w:eastAsia="zh-CN"/>
        </w:rPr>
        <w:t>地质灾害</w:t>
      </w:r>
      <w:r>
        <w:rPr>
          <w:rFonts w:hint="eastAsia"/>
          <w:color w:val="auto"/>
        </w:rPr>
        <w:t>地搬迁工程</w:t>
      </w:r>
      <w:r>
        <w:rPr>
          <w:rFonts w:hint="eastAsia"/>
          <w:color w:val="auto"/>
          <w:lang w:eastAsia="zh-CN"/>
        </w:rPr>
        <w:t>，</w:t>
      </w:r>
      <w:r>
        <w:rPr>
          <w:rFonts w:hint="eastAsia"/>
          <w:color w:val="auto"/>
        </w:rPr>
        <w:t>腰庄乡</w:t>
      </w:r>
      <w:r>
        <w:rPr>
          <w:color w:val="auto"/>
        </w:rPr>
        <w:t>赵家峁</w:t>
      </w:r>
      <w:r>
        <w:rPr>
          <w:rFonts w:hint="eastAsia"/>
          <w:color w:val="auto"/>
        </w:rPr>
        <w:t>村、义门镇荣家沟村2处</w:t>
      </w:r>
      <w:r>
        <w:rPr>
          <w:rFonts w:hint="eastAsia"/>
          <w:color w:val="auto"/>
          <w:lang w:val="en-US" w:eastAsia="zh-CN"/>
        </w:rPr>
        <w:t>201户</w:t>
      </w:r>
      <w:r>
        <w:rPr>
          <w:rFonts w:hint="eastAsia"/>
          <w:color w:val="auto"/>
        </w:rPr>
        <w:t>为“十四五”期间采煤沉陷区搬迁治理工程。</w:t>
      </w:r>
    </w:p>
    <w:p>
      <w:pPr>
        <w:rPr>
          <w:color w:val="auto"/>
        </w:rPr>
      </w:pPr>
      <w:r>
        <w:rPr>
          <w:rFonts w:hint="eastAsia"/>
          <w:color w:val="auto"/>
          <w:lang w:val="en-US" w:eastAsia="zh-CN"/>
        </w:rPr>
        <w:t>上述</w:t>
      </w:r>
      <w:r>
        <w:rPr>
          <w:rFonts w:hint="eastAsia"/>
          <w:color w:val="auto"/>
        </w:rPr>
        <w:t>该搬迁工程点位“十四五” 期间地质灾害在库隐患点。</w:t>
      </w:r>
    </w:p>
    <w:p>
      <w:pPr>
        <w:rPr>
          <w:color w:val="auto"/>
        </w:rPr>
      </w:pPr>
      <w:r>
        <w:rPr>
          <w:rFonts w:hint="eastAsia"/>
          <w:color w:val="auto"/>
          <w:lang w:val="en-US" w:eastAsia="zh-CN"/>
        </w:rPr>
        <w:t>杨家湾镇石圪垯村沿黄公路、</w:t>
      </w:r>
      <w:r>
        <w:rPr>
          <w:rFonts w:hint="eastAsia"/>
          <w:color w:val="auto"/>
        </w:rPr>
        <w:t>韩家川乡柴家湾北沿黄公路边、韩家川乡寨沟村鸭子嘴沿黄公路边、韩家川乡韩家川村沿黄公路边、</w:t>
      </w:r>
      <w:r>
        <w:rPr>
          <w:color w:val="auto"/>
        </w:rPr>
        <w:t>梅花沟泥石流</w:t>
      </w:r>
      <w:r>
        <w:rPr>
          <w:rFonts w:hint="eastAsia"/>
          <w:color w:val="auto"/>
          <w:lang w:eastAsia="zh-CN"/>
        </w:rPr>
        <w:t>、</w:t>
      </w:r>
      <w:r>
        <w:rPr>
          <w:rFonts w:hint="eastAsia"/>
          <w:color w:val="auto"/>
          <w:lang w:val="en-US" w:eastAsia="zh-CN"/>
        </w:rPr>
        <w:t>义门镇贾家峁同舟饭店、义门镇郭家堎通村公路旁等7处为“十四五”期</w:t>
      </w:r>
      <w:r>
        <w:rPr>
          <w:rFonts w:hint="eastAsia"/>
          <w:color w:val="auto"/>
        </w:rPr>
        <w:t>间</w:t>
      </w:r>
      <w:r>
        <w:rPr>
          <w:color w:val="auto"/>
        </w:rPr>
        <w:t>地质灾害治理工程</w:t>
      </w:r>
      <w:r>
        <w:rPr>
          <w:rFonts w:hint="eastAsia"/>
          <w:color w:val="auto"/>
        </w:rPr>
        <w:t>。</w:t>
      </w:r>
    </w:p>
    <w:p>
      <w:pPr>
        <w:rPr>
          <w:color w:val="auto"/>
        </w:rPr>
      </w:pPr>
      <w:r>
        <w:rPr>
          <w:rFonts w:hint="eastAsia"/>
          <w:color w:val="auto"/>
        </w:rPr>
        <w:t xml:space="preserve">地质灾害治理工程和搬迁避让有效地保障了人民群众的生命财产安全，取得了良好的社会效益和环境效益。        </w:t>
      </w:r>
    </w:p>
    <w:p>
      <w:pPr>
        <w:rPr>
          <w:rFonts w:hint="eastAsia" w:eastAsia="仿宋"/>
          <w:color w:val="auto"/>
          <w:lang w:val="en-US" w:eastAsia="zh-CN"/>
        </w:rPr>
      </w:pPr>
      <w:r>
        <w:rPr>
          <w:rFonts w:hint="eastAsia"/>
          <w:color w:val="auto"/>
        </w:rPr>
        <w:t>通过地质灾害综合治理工程和农村地质灾害搬迁避让工程消除地质灾害隐患</w:t>
      </w:r>
      <w:r>
        <w:rPr>
          <w:rFonts w:hint="eastAsia"/>
          <w:color w:val="auto"/>
          <w:lang w:val="en-US" w:eastAsia="zh-CN"/>
        </w:rPr>
        <w:t>10</w:t>
      </w:r>
      <w:r>
        <w:rPr>
          <w:rFonts w:hint="eastAsia"/>
          <w:color w:val="auto"/>
        </w:rPr>
        <w:t>处</w:t>
      </w:r>
      <w:r>
        <w:rPr>
          <w:rFonts w:hint="eastAsia"/>
          <w:color w:val="auto"/>
          <w:lang w:eastAsia="zh-CN"/>
        </w:rPr>
        <w:t>，</w:t>
      </w:r>
      <w:r>
        <w:rPr>
          <w:rFonts w:hint="eastAsia"/>
          <w:color w:val="auto"/>
          <w:lang w:val="en-US" w:eastAsia="zh-CN"/>
        </w:rPr>
        <w:t>保护人员1.25万人、财产39000万元以及部分流动人口和过往车辆</w:t>
      </w:r>
      <w:r>
        <w:rPr>
          <w:rFonts w:hint="eastAsia"/>
          <w:color w:val="auto"/>
        </w:rPr>
        <w:t>。</w:t>
      </w:r>
    </w:p>
    <w:p>
      <w:pPr>
        <w:pStyle w:val="3"/>
        <w:ind w:firstLine="643"/>
        <w:rPr>
          <w:color w:val="auto"/>
        </w:rPr>
      </w:pPr>
      <w:bookmarkStart w:id="5" w:name="_Toc32373"/>
      <w:r>
        <w:rPr>
          <w:rFonts w:hint="eastAsia"/>
          <w:color w:val="auto"/>
        </w:rPr>
        <w:t>二、规划指导思想、基本原则和目标</w:t>
      </w:r>
      <w:bookmarkEnd w:id="5"/>
    </w:p>
    <w:p>
      <w:pPr>
        <w:pStyle w:val="4"/>
        <w:ind w:firstLine="643"/>
        <w:rPr>
          <w:color w:val="auto"/>
        </w:rPr>
      </w:pPr>
      <w:bookmarkStart w:id="6" w:name="_Toc7219"/>
      <w:r>
        <w:rPr>
          <w:rFonts w:hint="eastAsia"/>
          <w:color w:val="auto"/>
        </w:rPr>
        <w:t>（一）指导思想</w:t>
      </w:r>
      <w:bookmarkEnd w:id="6"/>
    </w:p>
    <w:p>
      <w:pPr>
        <w:rPr>
          <w:color w:val="auto"/>
        </w:rPr>
      </w:pPr>
      <w:r>
        <w:rPr>
          <w:rFonts w:hint="eastAsia"/>
          <w:color w:val="auto"/>
        </w:rPr>
        <w:t>全面贯彻以习近平同志为核心的党中央决策部署，充分认识地质灾害防治工作的极端重要性，本着对人民极端负责的精神，进一步强化地方各级党委政府的主体责任，进一步加强组织保障、措施保障、制度保障、资金保障，切实落实“促一方发展，保一方平安”的政治责任。全面贯彻党的二十大精神，以全面提升防灾减灾救灾能力为总目标，坚持以人民为中心的发展思想，深入贯彻《国务院关于加强地质灾害防治工作的决定》，进一步完善调查评价、监测预警、综合治理、应急防治</w:t>
      </w:r>
      <w:r>
        <w:rPr>
          <w:rFonts w:hint="eastAsia"/>
          <w:color w:val="auto"/>
          <w:lang w:val="en-US" w:eastAsia="zh-CN"/>
        </w:rPr>
        <w:t>和地质灾害防治建设能力五</w:t>
      </w:r>
      <w:r>
        <w:rPr>
          <w:rFonts w:hint="eastAsia"/>
          <w:color w:val="auto"/>
        </w:rPr>
        <w:t>大体系，充分依靠科技进步和管理创新，落实各项责任，细化工作部署，提高防治效率，不断提升地质灾害防治工作服务经济社会全局的能力和水平，有效化解重大地质灾害风险，切实保障人民生命和财产安全。</w:t>
      </w:r>
    </w:p>
    <w:p>
      <w:pPr>
        <w:pStyle w:val="4"/>
        <w:ind w:firstLine="643"/>
        <w:rPr>
          <w:color w:val="auto"/>
        </w:rPr>
      </w:pPr>
      <w:bookmarkStart w:id="7" w:name="_Toc1225"/>
      <w:r>
        <w:rPr>
          <w:rFonts w:hint="eastAsia"/>
          <w:color w:val="auto"/>
        </w:rPr>
        <w:t>（二）规划原则</w:t>
      </w:r>
      <w:bookmarkEnd w:id="7"/>
    </w:p>
    <w:p>
      <w:pPr>
        <w:rPr>
          <w:color w:val="auto"/>
        </w:rPr>
      </w:pPr>
      <w:r>
        <w:rPr>
          <w:color w:val="auto"/>
        </w:rPr>
        <w:t xml:space="preserve">1. </w:t>
      </w:r>
      <w:r>
        <w:rPr>
          <w:rFonts w:hint="eastAsia"/>
          <w:color w:val="auto"/>
        </w:rPr>
        <w:t>坚持“以人民为中心，预防为主”的原则</w:t>
      </w:r>
    </w:p>
    <w:p>
      <w:pPr>
        <w:rPr>
          <w:color w:val="auto"/>
        </w:rPr>
      </w:pPr>
      <w:r>
        <w:rPr>
          <w:rFonts w:hint="eastAsia"/>
          <w:color w:val="auto"/>
        </w:rPr>
        <w:t>坚持保护人民群众安全为最高价值准则，将地质灾害防治业务链的重心前移，按照“预警到乡、预案到村、责任到人、有效避险”的要求，建立完善专业监测与群测群防相结合的地质灾害监测预警体系，充分发挥专业监测机构作用，紧紧依靠广大基层群众，全面做好地质灾害防治工作。</w:t>
      </w:r>
    </w:p>
    <w:p>
      <w:pPr>
        <w:rPr>
          <w:color w:val="auto"/>
        </w:rPr>
      </w:pPr>
      <w:r>
        <w:rPr>
          <w:color w:val="auto"/>
        </w:rPr>
        <w:t>2.</w:t>
      </w:r>
      <w:r>
        <w:rPr>
          <w:rFonts w:hint="eastAsia"/>
          <w:color w:val="auto"/>
        </w:rPr>
        <w:t>坚持“属地为主，分级分类负责”的原则</w:t>
      </w:r>
    </w:p>
    <w:p>
      <w:pPr>
        <w:rPr>
          <w:color w:val="auto"/>
        </w:rPr>
      </w:pPr>
      <w:r>
        <w:rPr>
          <w:rFonts w:hint="eastAsia"/>
          <w:color w:val="auto"/>
        </w:rPr>
        <w:t>坚持属地为主，分级负责，明确地方政府的防灾主体责任，做到政府组织领导、部门分工协作，全社会共同参与；坚持分类负责，谁引发、谁治理，对人为工程建设可能引发的地质灾害明确防灾责任单位，切实落实防范治理责任；建立健全地质灾害防治工作体制机制，明确政府、部门、单位和公民的地质灾害防治责任。</w:t>
      </w:r>
    </w:p>
    <w:p>
      <w:pPr>
        <w:rPr>
          <w:color w:val="auto"/>
        </w:rPr>
      </w:pPr>
      <w:r>
        <w:rPr>
          <w:color w:val="auto"/>
        </w:rPr>
        <w:t xml:space="preserve">3. </w:t>
      </w:r>
      <w:r>
        <w:rPr>
          <w:rFonts w:hint="eastAsia"/>
          <w:color w:val="auto"/>
        </w:rPr>
        <w:t>坚持“统筹规划，突出重点”的原则</w:t>
      </w:r>
    </w:p>
    <w:p>
      <w:pPr>
        <w:rPr>
          <w:color w:val="auto"/>
        </w:rPr>
      </w:pPr>
      <w:r>
        <w:rPr>
          <w:rFonts w:hint="eastAsia"/>
          <w:color w:val="auto"/>
        </w:rPr>
        <w:t>坚持根据不同地区地质灾害特点和经济社会发展水平，全面规划调查评价、监测预警、搬迁避让、工程治理、应急防治工作</w:t>
      </w:r>
      <w:r>
        <w:rPr>
          <w:rFonts w:hint="eastAsia"/>
          <w:color w:val="auto"/>
          <w:lang w:val="en-US" w:eastAsia="zh-CN"/>
        </w:rPr>
        <w:t>和地质灾害防治能力建设</w:t>
      </w:r>
      <w:r>
        <w:rPr>
          <w:rFonts w:hint="eastAsia"/>
          <w:color w:val="auto"/>
        </w:rPr>
        <w:t>，统筹兼顾，突出重点，将防治重点部署在对人民生命财产安全构成直接或潜在威胁的区域。根据轻重缓急，分步实施，稳妥推进的原则，优先部署调查评价和监测预警工作，有针对性地继续开展综合治理、应急防治工作。</w:t>
      </w:r>
    </w:p>
    <w:p>
      <w:pPr>
        <w:rPr>
          <w:color w:val="auto"/>
        </w:rPr>
      </w:pPr>
      <w:r>
        <w:rPr>
          <w:color w:val="auto"/>
        </w:rPr>
        <w:t xml:space="preserve">4. </w:t>
      </w:r>
      <w:r>
        <w:rPr>
          <w:rFonts w:hint="eastAsia"/>
          <w:color w:val="auto"/>
        </w:rPr>
        <w:t>坚持“合理避让，重点治理”的原则</w:t>
      </w:r>
    </w:p>
    <w:p>
      <w:pPr>
        <w:rPr>
          <w:color w:val="auto"/>
        </w:rPr>
      </w:pPr>
      <w:r>
        <w:rPr>
          <w:rFonts w:hint="eastAsia"/>
          <w:color w:val="auto"/>
        </w:rPr>
        <w:t>城镇建设坚持资源节约型、环境友好型。以调查评价、监测预警工作为基础，对受地质灾害威胁的分散居民点，特别是对生态环境恶化的贫困山地丘陵区的居民点实行搬迁，实现避灾、脱贫和改善生态环境三结合；对危害程度高、威胁人员多、潜在经济损失大的重大地质灾害隐患点，实施工程治理措施，实现合理避让和重点治理相结合。</w:t>
      </w:r>
    </w:p>
    <w:p>
      <w:pPr>
        <w:rPr>
          <w:color w:val="auto"/>
        </w:rPr>
      </w:pPr>
      <w:r>
        <w:rPr>
          <w:color w:val="auto"/>
        </w:rPr>
        <w:t xml:space="preserve"> 5. </w:t>
      </w:r>
      <w:r>
        <w:rPr>
          <w:rFonts w:hint="eastAsia"/>
          <w:color w:val="auto"/>
        </w:rPr>
        <w:t>坚持“依靠科技，注重成效”的原则</w:t>
      </w:r>
    </w:p>
    <w:p>
      <w:pPr>
        <w:rPr>
          <w:color w:val="auto"/>
        </w:rPr>
      </w:pPr>
      <w:r>
        <w:rPr>
          <w:rFonts w:hint="eastAsia"/>
          <w:color w:val="auto"/>
        </w:rPr>
        <w:t>坚持常规方法和高新技术相结合，着力提高监测预警科技水平，实现地质灾害防治规范化、科学化。加强高新技术的推广与应用，提高地质灾害防治效率、能力和水平。在地质灾害防治工作过程中，适时检查评估防治工作成效，总结经验教训，发现问题及时调整工作部署，实施动态管理，争取防灾减灾效益的最大化。</w:t>
      </w:r>
    </w:p>
    <w:p>
      <w:pPr>
        <w:pStyle w:val="4"/>
        <w:ind w:firstLine="643"/>
        <w:rPr>
          <w:color w:val="auto"/>
        </w:rPr>
      </w:pPr>
      <w:bookmarkStart w:id="8" w:name="_Toc11142"/>
      <w:r>
        <w:rPr>
          <w:rFonts w:hint="eastAsia"/>
          <w:color w:val="auto"/>
        </w:rPr>
        <w:t>（三）规划目标</w:t>
      </w:r>
      <w:bookmarkEnd w:id="8"/>
    </w:p>
    <w:p>
      <w:pPr>
        <w:rPr>
          <w:color w:val="auto"/>
        </w:rPr>
      </w:pPr>
      <w:r>
        <w:rPr>
          <w:rFonts w:hint="eastAsia"/>
          <w:color w:val="auto"/>
        </w:rPr>
        <w:t>以最大限度避免和减少人员伤亡及财产损失为目标，完善地质灾害调查评价、监测预警、综合治理、应急防治</w:t>
      </w:r>
      <w:r>
        <w:rPr>
          <w:rFonts w:hint="eastAsia"/>
          <w:color w:val="auto"/>
          <w:lang w:val="en-US" w:eastAsia="zh-CN"/>
        </w:rPr>
        <w:t>和地质灾害防治能力建设五</w:t>
      </w:r>
      <w:r>
        <w:rPr>
          <w:rFonts w:hint="eastAsia"/>
          <w:color w:val="auto"/>
        </w:rPr>
        <w:t>大体系；完善提升以群测群防为基础的群专结合监测网络；依靠科技创新，加大信息共享，进一步提高地质灾害防治技术水平与信息化程度。到</w:t>
      </w:r>
      <w:r>
        <w:rPr>
          <w:color w:val="auto"/>
        </w:rPr>
        <w:t>2025</w:t>
      </w:r>
      <w:r>
        <w:rPr>
          <w:rFonts w:hint="eastAsia"/>
          <w:color w:val="auto"/>
        </w:rPr>
        <w:t>年，全面建成地质灾害防治综合体系，全方位提升防灾减灾救灾能力。</w:t>
      </w:r>
    </w:p>
    <w:p>
      <w:pPr>
        <w:pStyle w:val="3"/>
        <w:ind w:firstLine="643"/>
        <w:rPr>
          <w:color w:val="auto"/>
        </w:rPr>
      </w:pPr>
      <w:bookmarkStart w:id="9" w:name="_Toc25605"/>
      <w:r>
        <w:rPr>
          <w:rFonts w:hint="eastAsia"/>
          <w:color w:val="auto"/>
        </w:rPr>
        <w:t>三、地质灾害易发分区和防治分区</w:t>
      </w:r>
      <w:bookmarkEnd w:id="9"/>
    </w:p>
    <w:p>
      <w:pPr>
        <w:pStyle w:val="4"/>
        <w:rPr>
          <w:b w:val="0"/>
          <w:color w:val="auto"/>
        </w:rPr>
      </w:pPr>
      <w:bookmarkStart w:id="10" w:name="_Toc2516"/>
      <w:r>
        <w:rPr>
          <w:rFonts w:hint="eastAsia"/>
          <w:b w:val="0"/>
          <w:color w:val="auto"/>
        </w:rPr>
        <w:t>（一）地质灾害易发区</w:t>
      </w:r>
      <w:bookmarkEnd w:id="10"/>
    </w:p>
    <w:p>
      <w:pPr>
        <w:rPr>
          <w:color w:val="auto"/>
        </w:rPr>
      </w:pPr>
      <w:r>
        <w:rPr>
          <w:rFonts w:hint="eastAsia"/>
          <w:color w:val="auto"/>
        </w:rPr>
        <w:t>根据地质环境条件和人类工程活动特征，保德县境内分为地质灾害高易发区、中易发区和低易发区</w:t>
      </w:r>
      <w:r>
        <w:rPr>
          <w:color w:val="auto"/>
        </w:rPr>
        <w:t>3</w:t>
      </w:r>
      <w:r>
        <w:rPr>
          <w:rFonts w:hint="eastAsia"/>
          <w:color w:val="auto"/>
        </w:rPr>
        <w:t>个区。其中，地质灾害高易发区面积为</w:t>
      </w:r>
      <w:r>
        <w:rPr>
          <w:rFonts w:hint="eastAsia"/>
          <w:color w:val="auto"/>
          <w:lang w:val="en-US" w:eastAsia="zh-CN"/>
        </w:rPr>
        <w:t>355.24</w:t>
      </w:r>
      <w:r>
        <w:rPr>
          <w:rFonts w:hint="eastAsia"/>
          <w:color w:val="auto"/>
        </w:rPr>
        <w:t>k</w:t>
      </w:r>
      <w:r>
        <w:rPr>
          <w:color w:val="auto"/>
        </w:rPr>
        <w:t>m</w:t>
      </w:r>
      <w:r>
        <w:rPr>
          <w:color w:val="auto"/>
          <w:vertAlign w:val="superscript"/>
        </w:rPr>
        <w:t>2</w:t>
      </w:r>
      <w:r>
        <w:rPr>
          <w:rFonts w:hint="eastAsia"/>
          <w:color w:val="auto"/>
        </w:rPr>
        <w:t>，占全县总面积的</w:t>
      </w:r>
      <w:r>
        <w:rPr>
          <w:rFonts w:hint="eastAsia"/>
          <w:color w:val="auto"/>
          <w:lang w:val="en-US" w:eastAsia="zh-CN"/>
        </w:rPr>
        <w:t>35.68</w:t>
      </w:r>
      <w:r>
        <w:rPr>
          <w:color w:val="auto"/>
        </w:rPr>
        <w:t>%</w:t>
      </w:r>
      <w:r>
        <w:rPr>
          <w:rFonts w:hint="eastAsia"/>
          <w:color w:val="auto"/>
          <w:lang w:eastAsia="zh-CN"/>
        </w:rPr>
        <w:t>，</w:t>
      </w:r>
      <w:r>
        <w:rPr>
          <w:rFonts w:hint="eastAsia"/>
          <w:color w:val="auto"/>
          <w:lang w:val="en-US" w:eastAsia="zh-CN"/>
        </w:rPr>
        <w:t>高易发区共分布97个地质灾害隐患点，其中含有泥石流2处、崩塌54处、滑坡18处、地面塌陷23处</w:t>
      </w:r>
      <w:r>
        <w:rPr>
          <w:rFonts w:hint="eastAsia"/>
          <w:color w:val="auto"/>
        </w:rPr>
        <w:t>；地质灾害中易发区面积为</w:t>
      </w:r>
      <w:r>
        <w:rPr>
          <w:rFonts w:hint="eastAsia"/>
          <w:color w:val="auto"/>
          <w:lang w:val="en-US" w:eastAsia="zh-CN"/>
        </w:rPr>
        <w:t>330.62</w:t>
      </w:r>
      <w:r>
        <w:rPr>
          <w:rFonts w:hint="eastAsia"/>
          <w:color w:val="auto"/>
        </w:rPr>
        <w:t>k</w:t>
      </w:r>
      <w:r>
        <w:rPr>
          <w:color w:val="auto"/>
        </w:rPr>
        <w:t>m</w:t>
      </w:r>
      <w:r>
        <w:rPr>
          <w:color w:val="auto"/>
          <w:vertAlign w:val="superscript"/>
        </w:rPr>
        <w:t>2</w:t>
      </w:r>
      <w:r>
        <w:rPr>
          <w:rFonts w:hint="eastAsia"/>
          <w:color w:val="auto"/>
        </w:rPr>
        <w:t>，占全县总面积的</w:t>
      </w:r>
      <w:r>
        <w:rPr>
          <w:rFonts w:hint="eastAsia"/>
          <w:color w:val="auto"/>
          <w:lang w:val="en-US" w:eastAsia="zh-CN"/>
        </w:rPr>
        <w:t>33.20</w:t>
      </w:r>
      <w:r>
        <w:rPr>
          <w:color w:val="auto"/>
        </w:rPr>
        <w:t>%</w:t>
      </w:r>
      <w:r>
        <w:rPr>
          <w:rFonts w:hint="eastAsia"/>
          <w:color w:val="auto"/>
          <w:vertAlign w:val="baseline"/>
          <w:lang w:eastAsia="zh-CN"/>
        </w:rPr>
        <w:t>，</w:t>
      </w:r>
      <w:r>
        <w:rPr>
          <w:rFonts w:hint="eastAsia"/>
          <w:color w:val="auto"/>
          <w:lang w:val="en-US" w:eastAsia="zh-CN"/>
        </w:rPr>
        <w:t>中易发区共分布7个地质灾害隐患点，其中含有崩塌3处、滑坡4处</w:t>
      </w:r>
      <w:r>
        <w:rPr>
          <w:rFonts w:hint="eastAsia"/>
          <w:color w:val="auto"/>
        </w:rPr>
        <w:t>；低易发区面积为</w:t>
      </w:r>
      <w:r>
        <w:rPr>
          <w:rFonts w:hint="eastAsia"/>
          <w:color w:val="auto"/>
          <w:lang w:val="en-US" w:eastAsia="zh-CN"/>
        </w:rPr>
        <w:t>309.84</w:t>
      </w:r>
      <w:r>
        <w:rPr>
          <w:rFonts w:hint="eastAsia"/>
          <w:color w:val="auto"/>
        </w:rPr>
        <w:t>k</w:t>
      </w:r>
      <w:r>
        <w:rPr>
          <w:color w:val="auto"/>
        </w:rPr>
        <w:t>m</w:t>
      </w:r>
      <w:r>
        <w:rPr>
          <w:color w:val="auto"/>
          <w:vertAlign w:val="superscript"/>
        </w:rPr>
        <w:t>2</w:t>
      </w:r>
      <w:r>
        <w:rPr>
          <w:rFonts w:hint="eastAsia"/>
          <w:color w:val="auto"/>
          <w:vertAlign w:val="baseline"/>
          <w:lang w:eastAsia="zh-CN"/>
        </w:rPr>
        <w:t>，</w:t>
      </w:r>
      <w:r>
        <w:rPr>
          <w:rFonts w:hint="eastAsia"/>
          <w:color w:val="auto"/>
          <w:lang w:val="en-US" w:eastAsia="zh-CN"/>
        </w:rPr>
        <w:t>中易发区共分布1个崩塌地质灾害隐患点</w:t>
      </w:r>
      <w:r>
        <w:rPr>
          <w:rFonts w:hint="eastAsia"/>
          <w:color w:val="auto"/>
        </w:rPr>
        <w:t>，占全县总面积的</w:t>
      </w:r>
      <w:r>
        <w:rPr>
          <w:rFonts w:hint="eastAsia"/>
          <w:color w:val="auto"/>
          <w:lang w:val="en-US" w:eastAsia="zh-CN"/>
        </w:rPr>
        <w:t>31.12</w:t>
      </w:r>
      <w:r>
        <w:rPr>
          <w:color w:val="auto"/>
        </w:rPr>
        <w:t>%</w:t>
      </w:r>
      <w:r>
        <w:rPr>
          <w:rFonts w:hint="eastAsia"/>
          <w:color w:val="auto"/>
        </w:rPr>
        <w:t>。</w:t>
      </w:r>
    </w:p>
    <w:p>
      <w:pPr>
        <w:widowControl/>
        <w:jc w:val="left"/>
        <w:rPr>
          <w:color w:val="auto"/>
        </w:rPr>
      </w:pPr>
      <w:r>
        <w:rPr>
          <w:rFonts w:hint="eastAsia"/>
          <w:color w:val="auto"/>
        </w:rPr>
        <w:t>地质灾害高易发区主要分布于保德县西北部及中部，东关 镇、杨家湾镇东部、腰庄乡、义门镇西北部、桥头镇中部、 孙家沟镇中上部、孙家沟镇中下部、南河沟乡中部以及黄河沿岸</w:t>
      </w:r>
      <w:r>
        <w:rPr>
          <w:color w:val="auto"/>
        </w:rPr>
        <w:t>，人口较为集中，人类工程活动较强烈，行政区划上属保德县，东关镇、杨家湾镇、腰庄乡、义门镇、桥头镇、孙家沟</w:t>
      </w:r>
      <w:r>
        <w:rPr>
          <w:rFonts w:hint="eastAsia"/>
          <w:color w:val="auto"/>
        </w:rPr>
        <w:t>镇、南河沟乡</w:t>
      </w:r>
      <w:r>
        <w:rPr>
          <w:color w:val="auto"/>
        </w:rPr>
        <w:t>等乡镇，</w:t>
      </w:r>
      <w:r>
        <w:rPr>
          <w:rFonts w:hint="eastAsia"/>
          <w:color w:val="auto"/>
        </w:rPr>
        <w:t>地质灾害隐患类型主要为</w:t>
      </w:r>
      <w:r>
        <w:rPr>
          <w:color w:val="auto"/>
        </w:rPr>
        <w:t>滑坡、崩塌、</w:t>
      </w:r>
      <w:r>
        <w:rPr>
          <w:rFonts w:hint="eastAsia"/>
          <w:color w:val="auto"/>
        </w:rPr>
        <w:t>泥石流</w:t>
      </w:r>
      <w:r>
        <w:rPr>
          <w:color w:val="auto"/>
        </w:rPr>
        <w:t>及地面塌陷</w:t>
      </w:r>
      <w:r>
        <w:rPr>
          <w:rFonts w:hint="eastAsia"/>
          <w:color w:val="auto"/>
        </w:rPr>
        <w:t>，规模为中小型为主。区域还发育有两条泥石流，规模分别为大型和</w:t>
      </w:r>
      <w:r>
        <w:rPr>
          <w:rFonts w:hint="eastAsia"/>
          <w:color w:val="auto"/>
          <w:lang w:val="en-US" w:eastAsia="zh-CN"/>
        </w:rPr>
        <w:t>特大型</w:t>
      </w:r>
      <w:r>
        <w:rPr>
          <w:rFonts w:hint="eastAsia"/>
          <w:color w:val="auto"/>
        </w:rPr>
        <w:t>。</w:t>
      </w:r>
    </w:p>
    <w:p>
      <w:pPr>
        <w:widowControl/>
        <w:jc w:val="left"/>
        <w:rPr>
          <w:color w:val="auto"/>
        </w:rPr>
      </w:pPr>
      <w:r>
        <w:rPr>
          <w:rFonts w:hint="eastAsia"/>
          <w:color w:val="auto"/>
        </w:rPr>
        <w:t>地质灾害中易发区主要分布于杨家湾镇西南部、韩家川乡、林遮峪乡、桥头镇西南部、孙家沟镇西部、南河沟西部、 土崖塔乡和冯家川乡，地质灾害隐患类型主要为滑坡、崩塌为主，规模以中小型为主。</w:t>
      </w:r>
    </w:p>
    <w:p>
      <w:pPr>
        <w:widowControl/>
        <w:jc w:val="left"/>
        <w:rPr>
          <w:rFonts w:hint="eastAsia"/>
          <w:color w:val="auto"/>
        </w:rPr>
      </w:pPr>
      <w:r>
        <w:rPr>
          <w:rFonts w:hint="eastAsia"/>
          <w:color w:val="auto"/>
        </w:rPr>
        <w:t>地质灾害低易发区</w:t>
      </w:r>
      <w:r>
        <w:rPr>
          <w:rFonts w:hint="eastAsia"/>
          <w:color w:val="auto"/>
          <w:lang w:val="en-US" w:eastAsia="zh-CN"/>
        </w:rPr>
        <w:t>除</w:t>
      </w:r>
      <w:r>
        <w:rPr>
          <w:rFonts w:hint="eastAsia"/>
          <w:color w:val="auto"/>
        </w:rPr>
        <w:t>地质灾害高易发区</w:t>
      </w:r>
      <w:r>
        <w:rPr>
          <w:rFonts w:hint="eastAsia"/>
          <w:color w:val="auto"/>
          <w:lang w:eastAsia="zh-CN"/>
        </w:rPr>
        <w:t>、</w:t>
      </w:r>
      <w:r>
        <w:rPr>
          <w:rFonts w:hint="eastAsia"/>
          <w:color w:val="auto"/>
          <w:lang w:val="en-US" w:eastAsia="zh-CN"/>
        </w:rPr>
        <w:t>低易发区以外区域</w:t>
      </w:r>
      <w:r>
        <w:rPr>
          <w:rFonts w:hint="eastAsia"/>
          <w:color w:val="auto"/>
        </w:rPr>
        <w:t>，地质灾害类型以崩塌</w:t>
      </w:r>
      <w:r>
        <w:rPr>
          <w:rFonts w:hint="eastAsia"/>
          <w:color w:val="auto"/>
          <w:lang w:eastAsia="zh-CN"/>
        </w:rPr>
        <w:t>、</w:t>
      </w:r>
      <w:r>
        <w:rPr>
          <w:rFonts w:hint="eastAsia"/>
          <w:color w:val="auto"/>
          <w:lang w:val="en-US" w:eastAsia="zh-CN"/>
        </w:rPr>
        <w:t>地面塌陷</w:t>
      </w:r>
      <w:r>
        <w:rPr>
          <w:rFonts w:hint="eastAsia"/>
          <w:color w:val="auto"/>
        </w:rPr>
        <w:t>为主，规模为中小型。</w:t>
      </w:r>
    </w:p>
    <w:p>
      <w:pPr>
        <w:pStyle w:val="4"/>
        <w:ind w:firstLine="643"/>
        <w:rPr>
          <w:color w:val="auto"/>
        </w:rPr>
      </w:pPr>
      <w:r>
        <w:rPr>
          <w:rFonts w:hint="eastAsia"/>
          <w:color w:val="auto"/>
          <w:lang w:val="en-US" w:eastAsia="zh-CN"/>
        </w:rPr>
        <w:t xml:space="preserve"> </w:t>
      </w:r>
      <w:bookmarkStart w:id="11" w:name="_Toc27187"/>
      <w:r>
        <w:rPr>
          <w:rFonts w:hint="eastAsia"/>
          <w:color w:val="auto"/>
        </w:rPr>
        <w:t>（二）地质灾害防治</w:t>
      </w:r>
      <w:r>
        <w:rPr>
          <w:rFonts w:hint="eastAsia"/>
          <w:color w:val="auto"/>
          <w:lang w:val="en-US" w:eastAsia="zh-CN"/>
        </w:rPr>
        <w:t>分</w:t>
      </w:r>
      <w:r>
        <w:rPr>
          <w:rFonts w:hint="eastAsia"/>
          <w:color w:val="auto"/>
        </w:rPr>
        <w:t>区</w:t>
      </w:r>
      <w:bookmarkEnd w:id="11"/>
    </w:p>
    <w:p>
      <w:pPr>
        <w:ind w:firstLine="643"/>
        <w:rPr>
          <w:b/>
          <w:color w:val="auto"/>
        </w:rPr>
      </w:pPr>
      <w:r>
        <w:rPr>
          <w:b/>
          <w:color w:val="auto"/>
        </w:rPr>
        <w:t>1</w:t>
      </w:r>
      <w:r>
        <w:rPr>
          <w:rFonts w:hint="eastAsia"/>
          <w:b/>
          <w:color w:val="auto"/>
        </w:rPr>
        <w:t>、地质灾害重点防治区</w:t>
      </w:r>
    </w:p>
    <w:p>
      <w:pPr>
        <w:rPr>
          <w:color w:val="auto"/>
        </w:rPr>
      </w:pPr>
      <w:r>
        <w:rPr>
          <w:rFonts w:hint="eastAsia"/>
          <w:color w:val="auto"/>
        </w:rPr>
        <w:t>主要分布于保德县西北部及中部，东关 镇、杨家湾镇东部、腰庄乡、义门镇西北部、桥头镇中部、 孙家沟镇中上部、孙家沟镇中下部、南河沟乡中部以及黄河沿岸，面积34</w:t>
      </w:r>
      <w:r>
        <w:rPr>
          <w:rFonts w:hint="eastAsia"/>
          <w:color w:val="auto"/>
          <w:lang w:val="en-US" w:eastAsia="zh-CN"/>
        </w:rPr>
        <w:t>4.23</w:t>
      </w:r>
      <w:r>
        <w:rPr>
          <w:color w:val="auto"/>
        </w:rPr>
        <w:t>km</w:t>
      </w:r>
      <w:r>
        <w:rPr>
          <w:color w:val="auto"/>
          <w:vertAlign w:val="superscript"/>
        </w:rPr>
        <w:t>2</w:t>
      </w:r>
      <w:r>
        <w:rPr>
          <w:rFonts w:hint="eastAsia"/>
          <w:color w:val="auto"/>
        </w:rPr>
        <w:t>，占全县总面积的34.</w:t>
      </w:r>
      <w:r>
        <w:rPr>
          <w:rFonts w:hint="eastAsia"/>
          <w:color w:val="auto"/>
          <w:lang w:val="en-US" w:eastAsia="zh-CN"/>
        </w:rPr>
        <w:t>51</w:t>
      </w:r>
      <w:r>
        <w:rPr>
          <w:rFonts w:hint="eastAsia"/>
          <w:color w:val="auto"/>
        </w:rPr>
        <w:t>％。该区地貌类型主要为黄土丘陵，发育的地质灾害隐患类型主要为滑坡、崩塌、泥石流、地面塌陷。该区地质灾害防治重点是村庄、厂矿、S249省道、G338国道、沙保线、朱庙线、孙桥线及其它乡村道路。</w:t>
      </w:r>
    </w:p>
    <w:p>
      <w:pPr>
        <w:ind w:firstLine="643"/>
        <w:rPr>
          <w:b/>
          <w:color w:val="auto"/>
        </w:rPr>
      </w:pPr>
      <w:r>
        <w:rPr>
          <w:b/>
          <w:color w:val="auto"/>
        </w:rPr>
        <w:t>2</w:t>
      </w:r>
      <w:r>
        <w:rPr>
          <w:rFonts w:hint="eastAsia"/>
          <w:b/>
          <w:color w:val="auto"/>
        </w:rPr>
        <w:t>、地质灾害次重点防治区</w:t>
      </w:r>
    </w:p>
    <w:p>
      <w:pPr>
        <w:rPr>
          <w:color w:val="auto"/>
        </w:rPr>
      </w:pPr>
      <w:r>
        <w:rPr>
          <w:rFonts w:hint="eastAsia"/>
          <w:color w:val="auto"/>
        </w:rPr>
        <w:t>主要分布于杨家湾镇西南部、韩家川乡、林遮峪乡、桥头镇西南部、孙家沟镇西部、南河沟西部、土崖塔乡和冯家川乡，面积335.77</w:t>
      </w:r>
      <w:r>
        <w:rPr>
          <w:color w:val="auto"/>
        </w:rPr>
        <w:t>km</w:t>
      </w:r>
      <w:r>
        <w:rPr>
          <w:color w:val="auto"/>
          <w:vertAlign w:val="superscript"/>
        </w:rPr>
        <w:t>2</w:t>
      </w:r>
      <w:r>
        <w:rPr>
          <w:rFonts w:hint="eastAsia"/>
          <w:color w:val="auto"/>
        </w:rPr>
        <w:t>，占全县总面积的33.</w:t>
      </w:r>
      <w:r>
        <w:rPr>
          <w:rFonts w:hint="eastAsia"/>
          <w:color w:val="auto"/>
          <w:lang w:val="en-US" w:eastAsia="zh-CN"/>
        </w:rPr>
        <w:t>66</w:t>
      </w:r>
      <w:r>
        <w:rPr>
          <w:rFonts w:hint="eastAsia"/>
          <w:color w:val="auto"/>
        </w:rPr>
        <w:t>％。该区地貌类型主要为低中山，发育的地质灾害隐患类型主要有滑坡、崩塌。该区地质灾害防治重点是村庄、S249省道、G338国道、桥西线及其它县乡道路。</w:t>
      </w:r>
    </w:p>
    <w:p>
      <w:pPr>
        <w:ind w:firstLine="643"/>
        <w:rPr>
          <w:b/>
          <w:color w:val="auto"/>
        </w:rPr>
      </w:pPr>
      <w:r>
        <w:rPr>
          <w:b/>
          <w:color w:val="auto"/>
        </w:rPr>
        <w:t>3</w:t>
      </w:r>
      <w:r>
        <w:rPr>
          <w:rFonts w:hint="eastAsia"/>
          <w:b/>
          <w:color w:val="auto"/>
        </w:rPr>
        <w:t>、地质灾害一般防治区</w:t>
      </w:r>
    </w:p>
    <w:p>
      <w:pPr>
        <w:rPr>
          <w:color w:val="auto"/>
        </w:rPr>
      </w:pPr>
      <w:r>
        <w:rPr>
          <w:rFonts w:hint="eastAsia"/>
          <w:color w:val="auto"/>
        </w:rPr>
        <w:t>主要分布于南河沟乡东部、孙家沟镇东部、桥头镇东部，面积317.5</w:t>
      </w:r>
      <w:r>
        <w:rPr>
          <w:color w:val="auto"/>
        </w:rPr>
        <w:t>km</w:t>
      </w:r>
      <w:r>
        <w:rPr>
          <w:color w:val="auto"/>
          <w:vertAlign w:val="superscript"/>
        </w:rPr>
        <w:t>2</w:t>
      </w:r>
      <w:r>
        <w:rPr>
          <w:rFonts w:hint="eastAsia"/>
          <w:color w:val="auto"/>
        </w:rPr>
        <w:t>，占全县总面积的31.</w:t>
      </w:r>
      <w:r>
        <w:rPr>
          <w:rFonts w:hint="eastAsia"/>
          <w:color w:val="auto"/>
          <w:lang w:val="en-US" w:eastAsia="zh-CN"/>
        </w:rPr>
        <w:t>83</w:t>
      </w:r>
      <w:r>
        <w:rPr>
          <w:rFonts w:hint="eastAsia"/>
          <w:color w:val="auto"/>
        </w:rPr>
        <w:t>％。该区地貌类型主要为中高山，现有地质灾害隐患类型主要有滑坡、崩塌。该区地质灾害防治重点是村庄、G338国道及其它乡道路。</w:t>
      </w:r>
    </w:p>
    <w:p>
      <w:pPr>
        <w:pStyle w:val="3"/>
        <w:ind w:firstLine="643"/>
        <w:rPr>
          <w:color w:val="auto"/>
        </w:rPr>
      </w:pPr>
      <w:bookmarkStart w:id="12" w:name="_Toc21666"/>
      <w:r>
        <w:rPr>
          <w:rFonts w:hint="eastAsia"/>
          <w:color w:val="auto"/>
        </w:rPr>
        <w:t>四、地质灾害防治任务</w:t>
      </w:r>
      <w:bookmarkEnd w:id="12"/>
    </w:p>
    <w:p>
      <w:pPr>
        <w:rPr>
          <w:color w:val="auto"/>
        </w:rPr>
      </w:pPr>
      <w:r>
        <w:rPr>
          <w:rFonts w:hint="eastAsia"/>
          <w:color w:val="auto"/>
        </w:rPr>
        <w:t>地质灾害防治任务主要包括地质灾害调查评价、监测预警、综合治理、应急防治和地质灾害防治能力建设五个方面。根据保德县不同区域经济社会发展水平，在地质灾害</w:t>
      </w:r>
      <w:r>
        <w:rPr>
          <w:rFonts w:hint="eastAsia"/>
          <w:color w:val="auto"/>
          <w:lang w:val="en-US" w:eastAsia="zh-CN"/>
        </w:rPr>
        <w:t>综合治理</w:t>
      </w:r>
      <w:r>
        <w:rPr>
          <w:rFonts w:hint="eastAsia"/>
          <w:color w:val="auto"/>
        </w:rPr>
        <w:t>，突出群测群防、监测预警。</w:t>
      </w:r>
    </w:p>
    <w:p>
      <w:pPr>
        <w:pStyle w:val="4"/>
        <w:ind w:firstLine="643"/>
        <w:rPr>
          <w:color w:val="auto"/>
        </w:rPr>
      </w:pPr>
      <w:bookmarkStart w:id="13" w:name="_Toc12253"/>
      <w:r>
        <w:rPr>
          <w:rFonts w:hint="eastAsia"/>
          <w:color w:val="auto"/>
        </w:rPr>
        <w:t>（一）调查评价</w:t>
      </w:r>
      <w:bookmarkEnd w:id="13"/>
    </w:p>
    <w:p>
      <w:pPr>
        <w:rPr>
          <w:color w:val="auto"/>
        </w:rPr>
      </w:pPr>
      <w:r>
        <w:rPr>
          <w:rFonts w:hint="eastAsia"/>
          <w:color w:val="auto"/>
          <w:lang w:val="en-US" w:eastAsia="zh-CN"/>
        </w:rPr>
        <w:t>完成</w:t>
      </w:r>
      <w:r>
        <w:rPr>
          <w:rFonts w:hint="eastAsia"/>
          <w:color w:val="auto"/>
        </w:rPr>
        <w:t>地质灾害年度“三查”。保德县自然资源主管部门会同住建、交通、水利、教育、文旅等部门继续进行地质灾害年度“三查”（汛前排查、汛中巡查、汛后核查），定期不定期组织</w:t>
      </w:r>
      <w:r>
        <w:rPr>
          <w:rFonts w:hint="eastAsia"/>
          <w:color w:val="auto"/>
          <w:lang w:val="en-US" w:eastAsia="zh-CN"/>
        </w:rPr>
        <w:t>完成</w:t>
      </w:r>
      <w:r>
        <w:rPr>
          <w:rFonts w:hint="eastAsia"/>
          <w:color w:val="auto"/>
        </w:rPr>
        <w:t>新增地质灾害隐患点调查工作等，全面准确地掌握地质灾害的现状，为工程建设规划布局及地质灾害防治提供依据。</w:t>
      </w:r>
    </w:p>
    <w:p>
      <w:pPr>
        <w:rPr>
          <w:color w:val="auto"/>
        </w:rPr>
      </w:pPr>
      <w:r>
        <w:rPr>
          <w:rFonts w:hint="eastAsia"/>
          <w:color w:val="auto"/>
          <w:lang w:val="en-US" w:eastAsia="zh-CN"/>
        </w:rPr>
        <w:t>完成</w:t>
      </w:r>
      <w:r>
        <w:rPr>
          <w:rFonts w:hint="eastAsia"/>
          <w:color w:val="auto"/>
        </w:rPr>
        <w:t>地质灾害风险调查评价。</w:t>
      </w:r>
      <w:r>
        <w:rPr>
          <w:rFonts w:hint="eastAsia"/>
          <w:color w:val="auto"/>
          <w:lang w:val="en-US" w:eastAsia="zh-CN"/>
        </w:rPr>
        <w:t>完成</w:t>
      </w:r>
      <w:r>
        <w:rPr>
          <w:rFonts w:hint="eastAsia"/>
          <w:color w:val="auto"/>
        </w:rPr>
        <w:t>全县地质灾害风险调查评价工作，</w:t>
      </w:r>
      <w:r>
        <w:rPr>
          <w:rFonts w:hint="eastAsia"/>
          <w:color w:val="auto"/>
          <w:lang w:val="en-US" w:eastAsia="zh-CN"/>
        </w:rPr>
        <w:t>完成</w:t>
      </w:r>
      <w:r>
        <w:rPr>
          <w:rFonts w:hint="eastAsia"/>
          <w:color w:val="auto"/>
        </w:rPr>
        <w:t>孕灾地质条件、承灾体调查，判识地质灾害隐患，总结调查区地质灾害发育分布规律，分析地质灾害成灾模式。</w:t>
      </w:r>
      <w:r>
        <w:rPr>
          <w:rFonts w:hint="eastAsia"/>
          <w:color w:val="auto"/>
          <w:lang w:val="en-US" w:eastAsia="zh-CN"/>
        </w:rPr>
        <w:t>完成</w:t>
      </w:r>
      <w:r>
        <w:rPr>
          <w:rFonts w:hint="eastAsia"/>
          <w:color w:val="auto"/>
        </w:rPr>
        <w:t>地质灾害易发性、危险性和风险评价，编制地质灾害风险调查评价相关图件。建立动态更新的地质灾害空间数据库，基本掌握保德县地质灾害风险底数。提出地质灾害风险管控对策建议，为防灾减灾管理、国土空间规划和用途管制等提供基础依据。</w:t>
      </w:r>
    </w:p>
    <w:p>
      <w:pPr>
        <w:rPr>
          <w:color w:val="auto"/>
        </w:rPr>
      </w:pPr>
      <w:r>
        <w:rPr>
          <w:rFonts w:hint="eastAsia"/>
          <w:color w:val="auto"/>
        </w:rPr>
        <w:t>重点加强公路、沿黄公路地质灾害风险调查评价。交通部门重点加强城区、沿黄公路崩塌、滑坡、泥石流地质灾害及隐患的现状调查治理。新建、改建公路应按有关规定进行地质灾害危险性评估，从源头上预防地质灾害。重点加强地质灾害高、中易发区内陡坡安全的地质灾害及隐患的现状调查，评价其稳定性、危害程度，为治理提供依据。</w:t>
      </w:r>
    </w:p>
    <w:p>
      <w:pPr>
        <w:rPr>
          <w:color w:val="auto"/>
        </w:rPr>
      </w:pPr>
      <w:r>
        <w:rPr>
          <w:rFonts w:hint="eastAsia"/>
          <w:color w:val="auto"/>
        </w:rPr>
        <w:t>重点加强中小学校地质灾害风险调查评价。在地质灾害风险调查评价成果基础上，全面</w:t>
      </w:r>
      <w:r>
        <w:rPr>
          <w:rFonts w:hint="eastAsia"/>
          <w:color w:val="auto"/>
          <w:lang w:val="en-US" w:eastAsia="zh-CN"/>
        </w:rPr>
        <w:t>完成</w:t>
      </w:r>
      <w:r>
        <w:rPr>
          <w:rFonts w:hint="eastAsia"/>
          <w:color w:val="auto"/>
        </w:rPr>
        <w:t>受地质灾害威胁的中小学校舍摸底调查工作，对排查出威胁中小学校舍的地质灾害隐患点，要及时向县校舍安全工程领导小组汇报和沟通，纳入中小学校舍安全工程。</w:t>
      </w:r>
    </w:p>
    <w:p>
      <w:pPr>
        <w:rPr>
          <w:color w:val="auto"/>
        </w:rPr>
      </w:pPr>
      <w:r>
        <w:rPr>
          <w:rFonts w:hint="eastAsia"/>
          <w:color w:val="auto"/>
        </w:rPr>
        <w:t>重点加强矿山地质灾害风险调查评价。综合利用地质灾害风险调查成果、矿山地质环境保护与恢复治理规划、采煤沉陷区详细调查等成果，</w:t>
      </w:r>
      <w:r>
        <w:rPr>
          <w:rFonts w:hint="eastAsia"/>
          <w:color w:val="auto"/>
          <w:lang w:val="en-US" w:eastAsia="zh-CN"/>
        </w:rPr>
        <w:t>完成</w:t>
      </w:r>
      <w:r>
        <w:rPr>
          <w:rFonts w:hint="eastAsia"/>
          <w:color w:val="auto"/>
        </w:rPr>
        <w:t>全县露天、井工矿山地质灾害专项调查，全面掌握矿山地质灾害的空间分布、孕灾地质条件、危险性和危害程度。</w:t>
      </w:r>
    </w:p>
    <w:p>
      <w:pPr>
        <w:rPr>
          <w:color w:val="auto"/>
        </w:rPr>
      </w:pPr>
      <w:r>
        <w:rPr>
          <w:rFonts w:hint="eastAsia"/>
          <w:color w:val="auto"/>
        </w:rPr>
        <w:t>县自然资源主管部门和</w:t>
      </w:r>
      <w:r>
        <w:rPr>
          <w:rFonts w:hint="eastAsia"/>
          <w:color w:val="auto"/>
          <w:lang w:val="en-US" w:eastAsia="zh-CN"/>
        </w:rPr>
        <w:t>财政</w:t>
      </w:r>
      <w:r>
        <w:rPr>
          <w:rFonts w:hint="eastAsia"/>
          <w:color w:val="auto"/>
        </w:rPr>
        <w:t>部门，会同应急管理、交通、水利等相关部门，</w:t>
      </w:r>
      <w:r>
        <w:rPr>
          <w:rFonts w:hint="eastAsia"/>
          <w:color w:val="auto"/>
          <w:lang w:val="en-US" w:eastAsia="zh-CN"/>
        </w:rPr>
        <w:t>协同</w:t>
      </w:r>
      <w:r>
        <w:rPr>
          <w:rFonts w:hint="eastAsia"/>
          <w:color w:val="auto"/>
        </w:rPr>
        <w:t>完成县级地质灾害“十四五”防治规划。地质灾害防治规划由</w:t>
      </w:r>
      <w:r>
        <w:rPr>
          <w:rFonts w:hint="eastAsia"/>
          <w:color w:val="auto"/>
          <w:lang w:val="en-US" w:eastAsia="zh-CN"/>
        </w:rPr>
        <w:t>县</w:t>
      </w:r>
      <w:r>
        <w:rPr>
          <w:rFonts w:hint="eastAsia"/>
          <w:color w:val="auto"/>
        </w:rPr>
        <w:t>人民政府审批后实施，并报市自然资源主管部门备案。经批准的地质灾害防治规划应服从</w:t>
      </w:r>
      <w:r>
        <w:rPr>
          <w:rFonts w:hint="eastAsia"/>
          <w:color w:val="auto"/>
          <w:lang w:val="en-US" w:eastAsia="zh-CN"/>
        </w:rPr>
        <w:t>于</w:t>
      </w:r>
      <w:r>
        <w:rPr>
          <w:rFonts w:hint="eastAsia"/>
          <w:color w:val="auto"/>
        </w:rPr>
        <w:t>上位规划，与同级规划相协调。</w:t>
      </w:r>
    </w:p>
    <w:p>
      <w:pPr>
        <w:pStyle w:val="4"/>
        <w:ind w:firstLine="643"/>
        <w:rPr>
          <w:color w:val="auto"/>
        </w:rPr>
      </w:pPr>
      <w:bookmarkStart w:id="14" w:name="_Toc22279"/>
      <w:r>
        <w:rPr>
          <w:rFonts w:hint="eastAsia"/>
          <w:color w:val="auto"/>
        </w:rPr>
        <w:t>（二）监测预警</w:t>
      </w:r>
      <w:bookmarkEnd w:id="14"/>
    </w:p>
    <w:p>
      <w:pPr>
        <w:rPr>
          <w:color w:val="auto"/>
        </w:rPr>
      </w:pPr>
      <w:r>
        <w:rPr>
          <w:rFonts w:hint="eastAsia"/>
          <w:color w:val="auto"/>
        </w:rPr>
        <w:t>（</w:t>
      </w:r>
      <w:r>
        <w:rPr>
          <w:color w:val="auto"/>
        </w:rPr>
        <w:t>1</w:t>
      </w:r>
      <w:r>
        <w:rPr>
          <w:rFonts w:hint="eastAsia"/>
          <w:color w:val="auto"/>
        </w:rPr>
        <w:t>）突发性地质灾害群测群防体系建设</w:t>
      </w:r>
    </w:p>
    <w:p>
      <w:pPr>
        <w:rPr>
          <w:color w:val="auto"/>
        </w:rPr>
      </w:pPr>
      <w:r>
        <w:rPr>
          <w:rFonts w:hint="eastAsia"/>
          <w:color w:val="auto"/>
        </w:rPr>
        <w:t>完善县、乡</w:t>
      </w:r>
      <w:r>
        <w:rPr>
          <w:color w:val="auto"/>
        </w:rPr>
        <w:t>(</w:t>
      </w:r>
      <w:r>
        <w:rPr>
          <w:rFonts w:hint="eastAsia"/>
          <w:color w:val="auto"/>
        </w:rPr>
        <w:t>镇</w:t>
      </w:r>
      <w:r>
        <w:rPr>
          <w:color w:val="auto"/>
        </w:rPr>
        <w:t>)</w:t>
      </w:r>
      <w:r>
        <w:rPr>
          <w:rFonts w:hint="eastAsia"/>
          <w:color w:val="auto"/>
        </w:rPr>
        <w:t>、村三级地质灾害群测群防网络，乡镇有负责人，行政村有具体责任人，每个隐患点有专人监测。群测群防人员配备卷尺、钢钉、油漆、简易手持</w:t>
      </w:r>
      <w:r>
        <w:rPr>
          <w:color w:val="auto"/>
        </w:rPr>
        <w:t>GPS</w:t>
      </w:r>
      <w:r>
        <w:rPr>
          <w:rFonts w:hint="eastAsia"/>
          <w:color w:val="auto"/>
        </w:rPr>
        <w:t>、手持监测数据发射器、手提扩音器、报警铜锣、手电筒、雨衣、雨靴、记录本和滑坡无线裂缝伸缩仪等基本装备。</w:t>
      </w:r>
    </w:p>
    <w:p>
      <w:pPr>
        <w:rPr>
          <w:color w:val="auto"/>
        </w:rPr>
      </w:pPr>
      <w:r>
        <w:rPr>
          <w:rFonts w:hint="eastAsia"/>
          <w:color w:val="auto"/>
        </w:rPr>
        <w:t>依托地质灾害风险调查、核查成果，基于计算机网络技术、集成全县10</w:t>
      </w:r>
      <w:r>
        <w:rPr>
          <w:rFonts w:hint="eastAsia"/>
          <w:color w:val="auto"/>
          <w:lang w:val="en-US" w:eastAsia="zh-CN"/>
        </w:rPr>
        <w:t>5</w:t>
      </w:r>
      <w:r>
        <w:rPr>
          <w:rFonts w:hint="eastAsia"/>
          <w:color w:val="auto"/>
        </w:rPr>
        <w:t>处地质灾害群测群防隐患点的防灾预案、防灾工作明白卡、避险明白卡及地质灾害群测群防监测的县、乡、村三级监测体系和监测责任人姓名、工作单位、联系电话等信息，形成群测群防信息管理、交流和发布的信息化平台，实现地质灾害群测群防信息的网上浏览和动态更新。</w:t>
      </w:r>
    </w:p>
    <w:p>
      <w:pPr>
        <w:rPr>
          <w:color w:val="auto"/>
        </w:rPr>
      </w:pPr>
      <w:r>
        <w:rPr>
          <w:rFonts w:hint="eastAsia"/>
          <w:color w:val="auto"/>
        </w:rPr>
        <w:t>为了提高群测群防水平，每年举办一次县、乡、村三级地质灾害监管人员、防治责任人、监测人及骨干群众组成的地质灾害防灾知识、技能培训，并以不同形式向群众</w:t>
      </w:r>
      <w:r>
        <w:rPr>
          <w:rFonts w:hint="eastAsia"/>
          <w:color w:val="auto"/>
          <w:lang w:val="en-US" w:eastAsia="zh-CN"/>
        </w:rPr>
        <w:t>完成</w:t>
      </w:r>
      <w:r>
        <w:rPr>
          <w:rFonts w:hint="eastAsia"/>
          <w:color w:val="auto"/>
        </w:rPr>
        <w:t>防灾、避灾宣传工作。</w:t>
      </w:r>
      <w:r>
        <w:rPr>
          <w:rFonts w:hint="eastAsia"/>
          <w:color w:val="auto"/>
          <w:lang w:val="en-US" w:eastAsia="zh-CN"/>
        </w:rPr>
        <w:t>完成</w:t>
      </w:r>
      <w:r>
        <w:rPr>
          <w:rFonts w:hint="eastAsia"/>
          <w:color w:val="auto"/>
        </w:rPr>
        <w:t>地质灾害防灾知识和避险技能宣传教育，每年组织</w:t>
      </w:r>
      <w:r>
        <w:rPr>
          <w:rFonts w:hint="eastAsia"/>
          <w:color w:val="auto"/>
          <w:lang w:val="en-US" w:eastAsia="zh-CN"/>
        </w:rPr>
        <w:t>完成</w:t>
      </w:r>
      <w:r>
        <w:rPr>
          <w:rFonts w:hint="eastAsia"/>
          <w:color w:val="auto"/>
        </w:rPr>
        <w:t>地质灾害简易监测技术培训</w:t>
      </w:r>
      <w:r>
        <w:rPr>
          <w:color w:val="auto"/>
        </w:rPr>
        <w:t>2</w:t>
      </w:r>
      <w:r>
        <w:rPr>
          <w:rFonts w:hint="eastAsia"/>
          <w:color w:val="auto"/>
        </w:rPr>
        <w:t>次。</w:t>
      </w:r>
    </w:p>
    <w:p>
      <w:pPr>
        <w:rPr>
          <w:color w:val="auto"/>
        </w:rPr>
      </w:pPr>
      <w:r>
        <w:rPr>
          <w:rFonts w:hint="eastAsia"/>
          <w:color w:val="auto"/>
        </w:rPr>
        <w:t>（</w:t>
      </w:r>
      <w:r>
        <w:rPr>
          <w:color w:val="auto"/>
        </w:rPr>
        <w:t>2</w:t>
      </w:r>
      <w:r>
        <w:rPr>
          <w:rFonts w:hint="eastAsia"/>
          <w:color w:val="auto"/>
        </w:rPr>
        <w:t>）突发性地质灾害群专结合监测预警和专业监测预警体系建设</w:t>
      </w:r>
    </w:p>
    <w:p>
      <w:pPr>
        <w:rPr>
          <w:color w:val="auto"/>
        </w:rPr>
      </w:pPr>
      <w:r>
        <w:rPr>
          <w:rFonts w:hint="eastAsia"/>
          <w:color w:val="auto"/>
        </w:rPr>
        <w:t>在群测群防监测的基础上，通过配备普适型设备实现地表变形与降雨等关键指标的自动化监测与预警工作，选择风险等级较高、尚没有实施搬迁和治理的地质灾害隐患点，部署成本低、实用搬迁的滑坡、地面塌陷等地质灾害隐患点，</w:t>
      </w:r>
      <w:r>
        <w:rPr>
          <w:rFonts w:hint="eastAsia"/>
          <w:color w:val="auto"/>
          <w:lang w:val="en-US" w:eastAsia="zh-CN"/>
        </w:rPr>
        <w:t>完成</w:t>
      </w:r>
      <w:r>
        <w:rPr>
          <w:rFonts w:hint="eastAsia"/>
          <w:color w:val="auto"/>
        </w:rPr>
        <w:t>以位移、应力、地下水、降雨等因素为主的立体综合监测，通过布设专业监测仪器进行实时自动化监测，对监测数据实时分析，研究地质体变形发展趋势，最大限度对可能发生的地质灾害适时发出预警预报信息，为避险决策提供技术支撑。</w:t>
      </w:r>
    </w:p>
    <w:p>
      <w:pPr>
        <w:rPr>
          <w:color w:val="auto"/>
        </w:rPr>
      </w:pPr>
      <w:r>
        <w:rPr>
          <w:rFonts w:hint="eastAsia"/>
          <w:color w:val="auto"/>
        </w:rPr>
        <w:t>（</w:t>
      </w:r>
      <w:r>
        <w:rPr>
          <w:color w:val="auto"/>
        </w:rPr>
        <w:t>3</w:t>
      </w:r>
      <w:r>
        <w:rPr>
          <w:rFonts w:hint="eastAsia"/>
          <w:color w:val="auto"/>
        </w:rPr>
        <w:t>）地质灾害气象风险预警体系建设</w:t>
      </w:r>
    </w:p>
    <w:p>
      <w:pPr>
        <w:rPr>
          <w:color w:val="auto"/>
        </w:rPr>
      </w:pPr>
      <w:r>
        <w:rPr>
          <w:rFonts w:hint="eastAsia"/>
          <w:color w:val="auto"/>
        </w:rPr>
        <w:t>加强与气象、水利等相关部门的协作和信息共享。</w:t>
      </w:r>
      <w:r>
        <w:rPr>
          <w:rFonts w:hint="eastAsia"/>
          <w:color w:val="auto"/>
          <w:lang w:val="en-US" w:eastAsia="zh-CN"/>
        </w:rPr>
        <w:t>建设</w:t>
      </w:r>
      <w:r>
        <w:rPr>
          <w:rFonts w:hint="eastAsia"/>
          <w:color w:val="auto"/>
        </w:rPr>
        <w:t>地质灾害气象风险预警系统，不断总结经验，改进预测预报技术方法，进一步规范风险预警工作程序。积极</w:t>
      </w:r>
      <w:r>
        <w:rPr>
          <w:rFonts w:hint="eastAsia"/>
          <w:color w:val="auto"/>
          <w:lang w:val="en-US" w:eastAsia="zh-CN"/>
        </w:rPr>
        <w:t>完成</w:t>
      </w:r>
      <w:r>
        <w:rPr>
          <w:rFonts w:hint="eastAsia"/>
          <w:color w:val="auto"/>
        </w:rPr>
        <w:t>滑坡、崩塌、泥石流地质灾害的气象预报预警科学技术研究，初步确定主要泥石流隐患沟谷的临界降雨量，建立地质灾害预报预警信息反馈机制，修正预测预报标准，不断提高监测预报精度和准确率。借助更为精准的先进技术，逐步实现在汛期，特别是遭遇严重灾害性天气时，能根据雨情变化，对重大地质灾害隐患点进行实时监测、快速评价、及时预警，切实保障人民生命财产安全。</w:t>
      </w:r>
    </w:p>
    <w:p>
      <w:pPr>
        <w:pStyle w:val="4"/>
        <w:ind w:firstLine="643"/>
        <w:rPr>
          <w:color w:val="auto"/>
        </w:rPr>
      </w:pPr>
      <w:bookmarkStart w:id="15" w:name="_Toc23980"/>
      <w:r>
        <w:rPr>
          <w:rFonts w:hint="eastAsia"/>
          <w:color w:val="auto"/>
        </w:rPr>
        <w:t>（三）综合治理</w:t>
      </w:r>
      <w:bookmarkEnd w:id="15"/>
    </w:p>
    <w:p>
      <w:pPr>
        <w:rPr>
          <w:color w:val="auto"/>
        </w:rPr>
      </w:pPr>
      <w:r>
        <w:rPr>
          <w:rFonts w:hint="eastAsia"/>
          <w:color w:val="auto"/>
        </w:rPr>
        <w:t>对危险性大、威胁严重的地质灾害隐患点采取搬迁避让或工程治理措施。</w:t>
      </w:r>
    </w:p>
    <w:p>
      <w:pPr>
        <w:rPr>
          <w:color w:val="auto"/>
        </w:rPr>
      </w:pPr>
      <w:r>
        <w:rPr>
          <w:rFonts w:hint="eastAsia"/>
          <w:color w:val="auto"/>
        </w:rPr>
        <w:t>勘查治理。对规模较大、稳定性差、具严重危害性和危险性的地质灾害隐患点，按灾害体规模大小，选择有相应资质的勘查单位进行勘查，规划期内对</w:t>
      </w:r>
      <w:r>
        <w:rPr>
          <w:rFonts w:hint="eastAsia"/>
          <w:color w:val="auto"/>
          <w:lang w:val="en-US" w:eastAsia="zh-CN"/>
        </w:rPr>
        <w:t>7</w:t>
      </w:r>
      <w:r>
        <w:rPr>
          <w:rFonts w:hint="eastAsia"/>
          <w:color w:val="auto"/>
        </w:rPr>
        <w:t>处地质灾害隐患点进行勘查治理工作，减少受地质灾害威胁的流动人口。</w:t>
      </w:r>
    </w:p>
    <w:p>
      <w:pPr>
        <w:rPr>
          <w:color w:val="auto"/>
        </w:rPr>
      </w:pPr>
      <w:r>
        <w:rPr>
          <w:rFonts w:hint="eastAsia"/>
          <w:color w:val="auto"/>
        </w:rPr>
        <w:t>搬迁避让。在地质灾害勘查和经济技术评价与论证的基础上，对治理工程费用高、技术难度大且自然环境条件差、不适宜人居的地质灾害隐患点，结合当地城镇建设规划、农村地质灾害搬迁规划、采煤沉陷区搬迁规划等，考虑采用搬迁避让措施，使受地质灾害威胁的群众脱险。</w:t>
      </w:r>
    </w:p>
    <w:p>
      <w:pPr>
        <w:rPr>
          <w:color w:val="auto"/>
        </w:rPr>
      </w:pPr>
      <w:r>
        <w:rPr>
          <w:rFonts w:hint="eastAsia"/>
          <w:color w:val="auto"/>
        </w:rPr>
        <w:t>实施勘查治理或搬迁避让的地质灾害隐患点可根据每年地质灾害防治方案及近年来地质灾害点的发展趋势与危害程度的大小进行调整。</w:t>
      </w:r>
    </w:p>
    <w:p>
      <w:pPr>
        <w:pStyle w:val="4"/>
        <w:ind w:firstLine="643"/>
        <w:rPr>
          <w:color w:val="auto"/>
        </w:rPr>
      </w:pPr>
      <w:bookmarkStart w:id="16" w:name="_Toc8518"/>
      <w:r>
        <w:rPr>
          <w:rFonts w:hint="eastAsia"/>
          <w:color w:val="auto"/>
        </w:rPr>
        <w:t>（四）应急防治</w:t>
      </w:r>
      <w:bookmarkEnd w:id="16"/>
    </w:p>
    <w:p>
      <w:pPr>
        <w:rPr>
          <w:color w:val="auto"/>
        </w:rPr>
      </w:pPr>
      <w:r>
        <w:rPr>
          <w:rFonts w:hint="eastAsia"/>
          <w:color w:val="auto"/>
        </w:rPr>
        <w:t>完善</w:t>
      </w:r>
      <w:bookmarkStart w:id="17" w:name="OLE_LINK3"/>
      <w:bookmarkStart w:id="18" w:name="OLE_LINK4"/>
      <w:r>
        <w:rPr>
          <w:rFonts w:hint="eastAsia"/>
          <w:color w:val="auto"/>
        </w:rPr>
        <w:t>地质灾害应急机构</w:t>
      </w:r>
      <w:bookmarkEnd w:id="17"/>
      <w:bookmarkEnd w:id="18"/>
      <w:r>
        <w:rPr>
          <w:rFonts w:hint="eastAsia"/>
          <w:color w:val="auto"/>
        </w:rPr>
        <w:t>和专家队伍的建设，明确地质灾害防治技术支撑单位，成立地质灾害应急专家队伍，负责对隐患点的核查、巡查、监测等技术工作进行指导，对灾害体成因、发展趋势、威胁范围等做研判分析并向主管部门提出应急处置，采取有效措施。</w:t>
      </w:r>
    </w:p>
    <w:p>
      <w:pPr>
        <w:rPr>
          <w:color w:val="auto"/>
        </w:rPr>
      </w:pPr>
      <w:r>
        <w:rPr>
          <w:rFonts w:hint="eastAsia"/>
          <w:color w:val="auto"/>
        </w:rPr>
        <w:t>地质灾害易发区有关乡镇、行政村要组织建立一支机动、高效、富有战斗力的应急抢险救灾队伍，做好地质灾害应急的各项准备工作，灾害发生时随时抢险。</w:t>
      </w:r>
    </w:p>
    <w:p>
      <w:pPr>
        <w:rPr>
          <w:color w:val="auto"/>
        </w:rPr>
      </w:pPr>
      <w:r>
        <w:rPr>
          <w:rFonts w:hint="eastAsia"/>
          <w:color w:val="auto"/>
        </w:rPr>
        <w:t>地质灾害应急机构在汛期要完善应急值守工作制度、交接班制度、信息报送制度，特别要注意信息的时效性和准确性，利用各种媒体及时发布地质灾害预警信息和启动应急响应，做到早发现早处置，最大限度地预防和减少人民生命财产的安全和损失。</w:t>
      </w:r>
    </w:p>
    <w:p>
      <w:pPr>
        <w:rPr>
          <w:color w:val="auto"/>
        </w:rPr>
      </w:pPr>
      <w:r>
        <w:rPr>
          <w:rFonts w:hint="eastAsia"/>
          <w:color w:val="auto"/>
        </w:rPr>
        <w:t>按照《山西省地质灾害防治条例》要求，规划期内每年至少要组织进行</w:t>
      </w:r>
      <w:r>
        <w:rPr>
          <w:color w:val="auto"/>
        </w:rPr>
        <w:t>1</w:t>
      </w:r>
      <w:r>
        <w:rPr>
          <w:rFonts w:hint="eastAsia"/>
          <w:color w:val="auto"/>
        </w:rPr>
        <w:t>次突发性地质灾害应急抢险训练和实战演练。</w:t>
      </w:r>
    </w:p>
    <w:p>
      <w:pPr>
        <w:pStyle w:val="4"/>
        <w:ind w:firstLine="643"/>
        <w:rPr>
          <w:color w:val="auto"/>
        </w:rPr>
      </w:pPr>
      <w:bookmarkStart w:id="19" w:name="_Toc11274"/>
      <w:r>
        <w:rPr>
          <w:rFonts w:hint="eastAsia"/>
          <w:color w:val="auto"/>
        </w:rPr>
        <w:t>（五）地质灾害防治能力建设</w:t>
      </w:r>
      <w:bookmarkEnd w:id="19"/>
    </w:p>
    <w:p>
      <w:pPr>
        <w:rPr>
          <w:color w:val="auto"/>
        </w:rPr>
      </w:pPr>
      <w:r>
        <w:rPr>
          <w:color w:val="auto"/>
        </w:rPr>
        <w:t>1</w:t>
      </w:r>
      <w:r>
        <w:rPr>
          <w:rFonts w:hint="eastAsia"/>
          <w:color w:val="auto"/>
        </w:rPr>
        <w:t>、全面提升基层地质灾害防御能力</w:t>
      </w:r>
    </w:p>
    <w:p>
      <w:pPr>
        <w:rPr>
          <w:color w:val="auto"/>
        </w:rPr>
      </w:pPr>
      <w:r>
        <w:rPr>
          <w:rFonts w:hint="eastAsia"/>
          <w:color w:val="auto"/>
        </w:rPr>
        <w:t>强化人员培训。对地质灾害防治人员进行年度地质灾害防治知识和避险技能培训，进一步提升防治人员的能力素质。</w:t>
      </w:r>
    </w:p>
    <w:p>
      <w:pPr>
        <w:rPr>
          <w:color w:val="auto"/>
        </w:rPr>
      </w:pPr>
      <w:r>
        <w:rPr>
          <w:rFonts w:hint="eastAsia"/>
          <w:color w:val="auto"/>
        </w:rPr>
        <w:t>加大宣传力度。利用会议、广播、电视、短信、微信、微博、报纸、宣传栏、宣传册、挂图、光碟和发放明白卡等方式宣传地质灾害防治知识，做到进村、入户、到人，进一步增强全社会的灾害风险防范意识和提高识灾防灾能力。</w:t>
      </w:r>
    </w:p>
    <w:p>
      <w:pPr>
        <w:rPr>
          <w:color w:val="auto"/>
        </w:rPr>
      </w:pPr>
      <w:r>
        <w:rPr>
          <w:rFonts w:hint="eastAsia"/>
          <w:color w:val="auto"/>
        </w:rPr>
        <w:t>加强应急演练。每年</w:t>
      </w:r>
      <w:r>
        <w:rPr>
          <w:rFonts w:hint="eastAsia"/>
          <w:color w:val="auto"/>
          <w:lang w:val="en-US" w:eastAsia="zh-CN"/>
        </w:rPr>
        <w:t>完成</w:t>
      </w:r>
      <w:r>
        <w:rPr>
          <w:rFonts w:hint="eastAsia"/>
          <w:color w:val="auto"/>
        </w:rPr>
        <w:t>一次地质灾害应急综合演练，进一步提高群众的避险自救能力和相关部门的地质灾害应急救援能力。</w:t>
      </w:r>
    </w:p>
    <w:p>
      <w:pPr>
        <w:rPr>
          <w:rFonts w:hint="eastAsia" w:eastAsia="仿宋"/>
          <w:color w:val="auto"/>
          <w:lang w:val="en-US" w:eastAsia="zh-CN"/>
        </w:rPr>
      </w:pPr>
      <w:r>
        <w:rPr>
          <w:color w:val="auto"/>
        </w:rPr>
        <w:t>2</w:t>
      </w:r>
      <w:r>
        <w:rPr>
          <w:rFonts w:hint="eastAsia"/>
          <w:color w:val="auto"/>
        </w:rPr>
        <w:t>、加强地质灾害防治信息化工作</w:t>
      </w:r>
      <w:r>
        <w:rPr>
          <w:rFonts w:hint="eastAsia"/>
          <w:color w:val="auto"/>
          <w:lang w:val="en-US" w:eastAsia="zh-CN"/>
        </w:rPr>
        <w:t xml:space="preserve"> </w:t>
      </w:r>
    </w:p>
    <w:p>
      <w:pPr>
        <w:rPr>
          <w:color w:val="auto"/>
        </w:rPr>
      </w:pPr>
      <w:r>
        <w:rPr>
          <w:rFonts w:hint="eastAsia"/>
          <w:color w:val="auto"/>
        </w:rPr>
        <w:t>继续完善地质灾害数据库的建设，加强地质灾害信息共享与服务，实现气象、水利、自然、应急等相关部门的业务协作和互联互通，快速搭建应急通信平台，提升对突发性地质灾害信息的快速报送调度指挥能力，有效提升应急处置和服务社会能力。</w:t>
      </w:r>
    </w:p>
    <w:p>
      <w:pPr>
        <w:rPr>
          <w:color w:val="auto"/>
        </w:rPr>
      </w:pPr>
      <w:r>
        <w:rPr>
          <w:color w:val="auto"/>
        </w:rPr>
        <w:t>3</w:t>
      </w:r>
      <w:r>
        <w:rPr>
          <w:rFonts w:hint="eastAsia"/>
          <w:color w:val="auto"/>
        </w:rPr>
        <w:t>、建设全县多级联动的地质灾害信息平台。</w:t>
      </w:r>
    </w:p>
    <w:p>
      <w:pPr>
        <w:rPr>
          <w:color w:val="auto"/>
        </w:rPr>
      </w:pPr>
      <w:r>
        <w:rPr>
          <w:rFonts w:hint="eastAsia"/>
          <w:color w:val="auto"/>
        </w:rPr>
        <w:t>建设多层级、多部门互联互通的全县地质灾害信息平台，为地质灾害防治管理和应急救援提供精准服务，全面提升保德县地质灾害监测预警科技水平、信息化水平和高效的决策支撑能力。</w:t>
      </w:r>
    </w:p>
    <w:p>
      <w:pPr>
        <w:rPr>
          <w:color w:val="auto"/>
        </w:rPr>
      </w:pPr>
      <w:r>
        <w:rPr>
          <w:color w:val="auto"/>
        </w:rPr>
        <w:t>4</w:t>
      </w:r>
      <w:r>
        <w:rPr>
          <w:rFonts w:hint="eastAsia"/>
          <w:color w:val="auto"/>
        </w:rPr>
        <w:t>、加强地质灾害技术装备保障能力建设。</w:t>
      </w:r>
    </w:p>
    <w:p>
      <w:pPr>
        <w:rPr>
          <w:color w:val="auto"/>
        </w:rPr>
      </w:pPr>
      <w:r>
        <w:rPr>
          <w:rFonts w:hint="eastAsia"/>
          <w:color w:val="auto"/>
        </w:rPr>
        <w:t>加强长量程三维激光扫描仪、智能无人机、高精度地基合成孔径雷达系统及车载地质灾害调查监测业务平台的配置，增加地质灾害调查监测数据采集与处理分析技术装备，加强地质灾害野外专业技术用车保障，提升保德县地质灾害应急防治能力。</w:t>
      </w:r>
    </w:p>
    <w:p>
      <w:pPr>
        <w:pStyle w:val="3"/>
        <w:ind w:firstLine="643"/>
        <w:rPr>
          <w:rStyle w:val="19"/>
          <w:b/>
          <w:color w:val="auto"/>
        </w:rPr>
      </w:pPr>
      <w:bookmarkStart w:id="20" w:name="_Toc13938"/>
      <w:r>
        <w:rPr>
          <w:rStyle w:val="19"/>
          <w:rFonts w:hint="eastAsia"/>
          <w:b/>
          <w:color w:val="auto"/>
        </w:rPr>
        <w:t>五、投资匡算、资金筹措和实施安排</w:t>
      </w:r>
      <w:bookmarkEnd w:id="20"/>
    </w:p>
    <w:p>
      <w:pPr>
        <w:pStyle w:val="4"/>
        <w:ind w:firstLine="643"/>
        <w:rPr>
          <w:color w:val="auto"/>
        </w:rPr>
      </w:pPr>
      <w:bookmarkStart w:id="21" w:name="_Toc21711"/>
      <w:r>
        <w:rPr>
          <w:rFonts w:hint="eastAsia"/>
          <w:color w:val="auto"/>
        </w:rPr>
        <w:t>（一）投资匡算</w:t>
      </w:r>
      <w:bookmarkEnd w:id="21"/>
    </w:p>
    <w:p>
      <w:pPr>
        <w:rPr>
          <w:color w:val="auto"/>
        </w:rPr>
      </w:pPr>
      <w:r>
        <w:rPr>
          <w:rFonts w:hint="eastAsia"/>
          <w:color w:val="auto"/>
        </w:rPr>
        <w:t>本期规划要投资包括基础性地质灾害防治工作投资和地质灾害防治工程投资两部分。</w:t>
      </w:r>
    </w:p>
    <w:p>
      <w:pPr>
        <w:rPr>
          <w:rFonts w:hint="eastAsia"/>
          <w:color w:val="auto"/>
        </w:rPr>
      </w:pPr>
      <w:r>
        <w:rPr>
          <w:rFonts w:hint="eastAsia"/>
          <w:color w:val="auto"/>
        </w:rPr>
        <w:t>基础性地质灾害防治工作主要是指：地质灾害风险调查评价、地质灾害动态巡查、地质灾害监测预警体系建设、地质灾害应急防治体系建设、地质灾害防治宣传、培训等方面的投资。</w:t>
      </w:r>
    </w:p>
    <w:p>
      <w:pPr>
        <w:rPr>
          <w:rFonts w:hint="eastAsia"/>
          <w:color w:val="auto"/>
        </w:rPr>
      </w:pPr>
      <w:r>
        <w:rPr>
          <w:rFonts w:hint="eastAsia"/>
          <w:color w:val="auto"/>
        </w:rPr>
        <w:t>地质灾害防治工程投资是指：地质灾害点治理工程的勘查、设计、施工等投资费用、地质灾害点搬迁避让、采煤沉陷区治理工程。参照以往地质灾害调查评价、监测预警、宣传培训、综合防治工程等经费使用情况和相关行业取费标准，估算保德县地质灾害防治“十四五”规划工作经费</w:t>
      </w:r>
      <w:r>
        <w:rPr>
          <w:rFonts w:hint="eastAsia"/>
          <w:color w:val="auto"/>
          <w:lang w:val="en-US" w:eastAsia="zh-CN"/>
        </w:rPr>
        <w:t>12301万元，其中，</w:t>
      </w:r>
      <w:r>
        <w:rPr>
          <w:rFonts w:hint="eastAsia"/>
          <w:color w:val="auto"/>
        </w:rPr>
        <w:t>地质灾害“三查”</w:t>
      </w:r>
      <w:r>
        <w:rPr>
          <w:rFonts w:hint="eastAsia"/>
          <w:color w:val="auto"/>
          <w:lang w:val="en-US" w:eastAsia="zh-CN"/>
        </w:rPr>
        <w:t>资金约100万元；</w:t>
      </w:r>
      <w:r>
        <w:rPr>
          <w:rFonts w:hint="eastAsia"/>
          <w:color w:val="auto"/>
        </w:rPr>
        <w:t>普适型地质灾害监测点布设</w:t>
      </w:r>
      <w:r>
        <w:rPr>
          <w:rFonts w:hint="eastAsia"/>
          <w:color w:val="auto"/>
          <w:lang w:val="en-US" w:eastAsia="zh-CN"/>
        </w:rPr>
        <w:t>资金约220万元；地质灾害专业监测点布设资金约200万元；</w:t>
      </w:r>
      <w:r>
        <w:rPr>
          <w:rFonts w:hint="eastAsia"/>
          <w:color w:val="auto"/>
        </w:rPr>
        <w:t>地质灾害监测预警体系建设</w:t>
      </w:r>
      <w:r>
        <w:rPr>
          <w:rFonts w:hint="eastAsia"/>
          <w:color w:val="auto"/>
          <w:lang w:val="en-US" w:eastAsia="zh-CN"/>
        </w:rPr>
        <w:t>资金约100万元；</w:t>
      </w:r>
      <w:r>
        <w:rPr>
          <w:rFonts w:hint="eastAsia"/>
          <w:color w:val="auto"/>
        </w:rPr>
        <w:t>地质灾害应急防治体系建设</w:t>
      </w:r>
      <w:r>
        <w:rPr>
          <w:rFonts w:hint="eastAsia"/>
          <w:color w:val="auto"/>
          <w:lang w:val="en-US" w:eastAsia="zh-CN"/>
        </w:rPr>
        <w:t>资金约500万元；</w:t>
      </w:r>
      <w:r>
        <w:rPr>
          <w:rFonts w:hint="eastAsia"/>
          <w:color w:val="auto"/>
        </w:rPr>
        <w:t>地质灾害防治宣传、培训</w:t>
      </w:r>
      <w:r>
        <w:rPr>
          <w:rFonts w:hint="eastAsia"/>
          <w:color w:val="auto"/>
          <w:lang w:val="en-US" w:eastAsia="zh-CN"/>
        </w:rPr>
        <w:t>资金约50万元；地质灾害群测群防体系建设资金约250万元；梅花沟综合生态治理项目地质环境恢复治理工程资金约5674万元；</w:t>
      </w:r>
      <w:r>
        <w:rPr>
          <w:rFonts w:hint="eastAsia"/>
          <w:color w:val="auto"/>
        </w:rPr>
        <w:t>沿黄公路石圪垯、柴家湾、</w:t>
      </w:r>
      <w:r>
        <w:rPr>
          <w:rFonts w:hint="eastAsia"/>
          <w:color w:val="auto"/>
          <w:lang w:val="en-US" w:eastAsia="zh-CN"/>
        </w:rPr>
        <w:t>韩家川、</w:t>
      </w:r>
      <w:r>
        <w:rPr>
          <w:rFonts w:hint="eastAsia"/>
          <w:color w:val="auto"/>
        </w:rPr>
        <w:t>寨沟村鸭子嘴崩塌段地质灾害治理工程</w:t>
      </w:r>
      <w:r>
        <w:rPr>
          <w:rFonts w:hint="eastAsia"/>
          <w:color w:val="auto"/>
          <w:lang w:val="en-US" w:eastAsia="zh-CN"/>
        </w:rPr>
        <w:t>资金约2200万元、</w:t>
      </w:r>
      <w:r>
        <w:rPr>
          <w:rFonts w:hint="eastAsia"/>
          <w:color w:val="auto"/>
        </w:rPr>
        <w:t>义门镇贾家峁同舟饭店旁滑坡地质灾害应急治理项目</w:t>
      </w:r>
      <w:r>
        <w:rPr>
          <w:rFonts w:hint="eastAsia"/>
          <w:color w:val="auto"/>
          <w:lang w:val="en-US" w:eastAsia="zh-CN"/>
        </w:rPr>
        <w:t>355万元、</w:t>
      </w:r>
      <w:r>
        <w:rPr>
          <w:rFonts w:hint="eastAsia"/>
          <w:color w:val="auto"/>
        </w:rPr>
        <w:t>义门镇郭家堎通村公路旁崩塌地质灾害应急治理项目</w:t>
      </w:r>
      <w:r>
        <w:rPr>
          <w:rFonts w:hint="eastAsia"/>
          <w:color w:val="auto"/>
          <w:lang w:val="en-US" w:eastAsia="zh-CN"/>
        </w:rPr>
        <w:t>资金约188万元、</w:t>
      </w:r>
      <w:r>
        <w:rPr>
          <w:rFonts w:hint="eastAsia"/>
          <w:color w:val="auto"/>
        </w:rPr>
        <w:t>农村地质灾害搬迁避让</w:t>
      </w:r>
      <w:r>
        <w:rPr>
          <w:rFonts w:hint="eastAsia"/>
          <w:color w:val="auto"/>
          <w:lang w:val="en-US" w:eastAsia="zh-CN"/>
        </w:rPr>
        <w:t>与</w:t>
      </w:r>
      <w:r>
        <w:rPr>
          <w:rFonts w:hint="eastAsia"/>
          <w:color w:val="auto"/>
        </w:rPr>
        <w:t>采煤沉陷区村庄搬迁避让</w:t>
      </w:r>
      <w:r>
        <w:rPr>
          <w:rFonts w:hint="eastAsia"/>
          <w:color w:val="auto"/>
          <w:lang w:val="en-US" w:eastAsia="zh-CN"/>
        </w:rPr>
        <w:t>工程资金约2464万元</w:t>
      </w:r>
      <w:r>
        <w:rPr>
          <w:rFonts w:hint="eastAsia"/>
          <w:color w:val="auto"/>
        </w:rPr>
        <w:t>。</w:t>
      </w:r>
    </w:p>
    <w:p>
      <w:pPr>
        <w:pStyle w:val="4"/>
        <w:ind w:firstLine="643"/>
        <w:rPr>
          <w:color w:val="auto"/>
        </w:rPr>
      </w:pPr>
      <w:bookmarkStart w:id="22" w:name="_Toc18409"/>
      <w:r>
        <w:rPr>
          <w:rFonts w:hint="eastAsia"/>
          <w:color w:val="auto"/>
        </w:rPr>
        <w:t>（二）资金筹措</w:t>
      </w:r>
      <w:bookmarkEnd w:id="22"/>
    </w:p>
    <w:p>
      <w:pPr>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地质灾害调查评价费用申请省政府财政预算。</w:t>
      </w:r>
    </w:p>
    <w:p>
      <w:pPr>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地质灾害监测预警体系建设、地质灾害应急防治体系建设</w:t>
      </w:r>
      <w:r>
        <w:rPr>
          <w:rFonts w:hint="eastAsia"/>
          <w:color w:val="auto"/>
          <w:lang w:val="en-US" w:eastAsia="zh-CN"/>
        </w:rPr>
        <w:t>申请省级基金</w:t>
      </w:r>
      <w:r>
        <w:rPr>
          <w:rFonts w:hint="eastAsia"/>
          <w:color w:val="auto"/>
        </w:rPr>
        <w:t>、地质灾害防治宣传培训等费用由县政府投入。</w:t>
      </w:r>
    </w:p>
    <w:p>
      <w:pPr>
        <w:rPr>
          <w:rFonts w:hint="eastAsia"/>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因自然因素形成的地质灾害的防治经费，</w:t>
      </w:r>
      <w:r>
        <w:rPr>
          <w:rFonts w:hint="eastAsia"/>
          <w:color w:val="auto"/>
          <w:lang w:val="en-US" w:eastAsia="zh-CN"/>
        </w:rPr>
        <w:t>根据规模大小申请上级财政</w:t>
      </w:r>
      <w:r>
        <w:rPr>
          <w:rFonts w:hint="eastAsia"/>
          <w:color w:val="auto"/>
        </w:rPr>
        <w:t>。特大型地质灾害隐患的治理经费可申请国家财政补助；大型地质灾害隐患的治理经费可申请省人民政府财政资金；中型地质灾害隐患的治理经费申请市人民政府财政资金；小型地质灾害隐患的治理经费由县人民政府从财政预算中列支。</w:t>
      </w:r>
    </w:p>
    <w:p>
      <w:pPr>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地质灾害防治经费还可多方（矿产资源补偿费、采矿权出让价款等）、多渠道筹集。鼓励社会各界投身于地质灾害防治工程领域，本着“谁治理，谁受益”的原则给投资人以社会回报。</w:t>
      </w:r>
    </w:p>
    <w:p>
      <w:pPr>
        <w:rPr>
          <w:color w:val="auto"/>
        </w:rPr>
      </w:pPr>
      <w:r>
        <w:rPr>
          <w:rFonts w:hint="eastAsia"/>
          <w:color w:val="auto"/>
        </w:rPr>
        <w:t xml:space="preserve"> 六、保障措施</w:t>
      </w:r>
    </w:p>
    <w:p>
      <w:pPr>
        <w:pStyle w:val="7"/>
        <w:rPr>
          <w:color w:val="auto"/>
        </w:rPr>
      </w:pPr>
      <w:bookmarkStart w:id="23" w:name="_Toc213858367"/>
      <w:r>
        <w:rPr>
          <w:rFonts w:hint="eastAsia"/>
          <w:color w:val="auto"/>
        </w:rPr>
        <w:t>规划实施保证措施是指为实现地质灾害防治规划预期目标而实施的措施。主要包括：</w:t>
      </w:r>
      <w:bookmarkEnd w:id="23"/>
      <w:r>
        <w:rPr>
          <w:rFonts w:hint="eastAsia"/>
          <w:color w:val="auto"/>
        </w:rPr>
        <w:t>行政管理保证措施、制度保证措施、资金保证措施、宣传教育保证措施四个方面。</w:t>
      </w:r>
    </w:p>
    <w:p>
      <w:pPr>
        <w:pStyle w:val="4"/>
        <w:spacing w:before="240" w:after="240"/>
        <w:ind w:firstLine="643"/>
        <w:rPr>
          <w:color w:val="auto"/>
        </w:rPr>
      </w:pPr>
      <w:bookmarkStart w:id="24" w:name="_Toc486065160"/>
      <w:bookmarkStart w:id="25" w:name="_Toc12087"/>
      <w:r>
        <w:rPr>
          <w:rFonts w:hint="eastAsia"/>
          <w:color w:val="auto"/>
        </w:rPr>
        <w:t>（一）组织机构管理保证</w:t>
      </w:r>
      <w:bookmarkEnd w:id="24"/>
      <w:bookmarkEnd w:id="25"/>
    </w:p>
    <w:p>
      <w:pPr>
        <w:pStyle w:val="7"/>
        <w:rPr>
          <w:color w:val="auto"/>
        </w:rPr>
      </w:pPr>
      <w:r>
        <w:rPr>
          <w:rFonts w:hint="eastAsia"/>
          <w:color w:val="auto"/>
        </w:rPr>
        <w:t>地质灾害防治工作是各级人民政府的主要职责。地质灾害防治工作实行属地化管理，各级行政领导为第一责任人。各级人民政府要始终把保护人民的生命和安全放在首位，切实加强对地质灾害防治工作的领导，认真履行职责。将地质灾害防治工作纳入国民经济和社会发展规划，列入各级政府和自然资源主管部门的重要议事日程，将规划目标和防治任务分解为年度计划，并制定具体落实措施，实行严格的年度考核和政绩评价。</w:t>
      </w:r>
    </w:p>
    <w:p>
      <w:pPr>
        <w:pStyle w:val="7"/>
        <w:rPr>
          <w:color w:val="auto"/>
        </w:rPr>
      </w:pPr>
      <w:r>
        <w:rPr>
          <w:rFonts w:hint="eastAsia"/>
          <w:color w:val="auto"/>
        </w:rPr>
        <w:t>各级政府相关部门建立职责明确、分工协作的工作机制，做到“责任、措施和监管”三到位。自然资源主管部门负责本区范围内地质灾害防治工作的组织、协调、指导和监督。应急管理、生态环境、住建、交通、水利、气象、教育、文旅等部门，按照各自的职责负责有关的地质灾害防治工作及其监管检查，形成以自然资源主管部门为主抓、有关部门共同抓、合谋共管的氛围，确保《规划》的全面实施。</w:t>
      </w:r>
    </w:p>
    <w:p>
      <w:pPr>
        <w:pStyle w:val="7"/>
        <w:rPr>
          <w:color w:val="auto"/>
        </w:rPr>
      </w:pPr>
      <w:r>
        <w:rPr>
          <w:rFonts w:hint="eastAsia"/>
          <w:color w:val="auto"/>
        </w:rPr>
        <w:t>加强对《规划》的管理。建立规划编制、审批和实施的领导责任制。特别要加强对《规划》实施情况的检查、评价和监督，实行动态跟踪管理，强化规划的指导和约束功能。</w:t>
      </w:r>
    </w:p>
    <w:p>
      <w:pPr>
        <w:pStyle w:val="4"/>
        <w:spacing w:before="240" w:after="240"/>
        <w:ind w:firstLine="643"/>
        <w:rPr>
          <w:color w:val="auto"/>
        </w:rPr>
      </w:pPr>
      <w:bookmarkStart w:id="26" w:name="_Toc486065161"/>
      <w:bookmarkStart w:id="27" w:name="_Toc30184"/>
      <w:r>
        <w:rPr>
          <w:rFonts w:hint="eastAsia"/>
          <w:color w:val="auto"/>
        </w:rPr>
        <w:t>（二）制度保证</w:t>
      </w:r>
      <w:bookmarkEnd w:id="26"/>
      <w:bookmarkEnd w:id="27"/>
    </w:p>
    <w:p>
      <w:pPr>
        <w:pStyle w:val="7"/>
        <w:rPr>
          <w:color w:val="auto"/>
        </w:rPr>
      </w:pPr>
      <w:bookmarkStart w:id="28" w:name="_Toc210117117"/>
      <w:bookmarkStart w:id="29" w:name="_Toc210191402"/>
      <w:r>
        <w:rPr>
          <w:rFonts w:hint="eastAsia"/>
          <w:color w:val="auto"/>
        </w:rPr>
        <w:t>完善适应社会经济发展和市场经济体制的地质灾害防治监督管理体系，进一步加强自然资源主管部门地质灾害防治监督管理机构建设，配备和充实相关人员，加强人员培训，提高管理人员素质和管理水平，加大监管力度，建立行之有效的长效监管机制。</w:t>
      </w:r>
    </w:p>
    <w:p>
      <w:pPr>
        <w:pStyle w:val="7"/>
        <w:rPr>
          <w:color w:val="auto"/>
        </w:rPr>
      </w:pPr>
      <w:r>
        <w:rPr>
          <w:rFonts w:hint="eastAsia"/>
          <w:color w:val="auto"/>
        </w:rPr>
        <w:t>深入贯彻落实国务院《地质灾害防治条例》和《山西省地质灾害防治条例》等法律法规及省、市规划等相关文件，并依照法规要求，健全和完善保德县地质灾害防治管理制度，包括地质灾害防治目标责任制、突发地质灾害应急预案及操作手册、年度地质灾害防治方案、地质灾害调查、监测预报、危险性评估、“三同时”及资质管理制度、汛期地质灾害巡查、值班、灾情速报、汛期地质灾害防御工作要求、地质灾害信息发布等，使保德县地质灾害防治工作步入法制化、规范化、制度化轨道。</w:t>
      </w:r>
    </w:p>
    <w:p>
      <w:pPr>
        <w:pStyle w:val="7"/>
        <w:rPr>
          <w:color w:val="auto"/>
        </w:rPr>
      </w:pPr>
      <w:r>
        <w:rPr>
          <w:rFonts w:hint="eastAsia"/>
          <w:color w:val="auto"/>
        </w:rPr>
        <w:t>实行县政府对辖区内地质灾害防治负责制，对本辖区地质灾害防治工作总负责，把地质灾害防治列入重要议事日程，建立和完善领导责任制，将地质灾害防治工作列入年度计划和考核目标，并接受上级主管部门对地质灾害防治工作的监督和指导。地质灾害防治实行统一管理与分级、分部门管理相结合。自然资源主管部门负责本辖区内地质灾害防治工作的统一管理。应急管理、生态环境、交通、水利、住建、铁路、电力、教育、文旅等相关部门，按照各自职责分工做好本部门的地质灾害防治工作。</w:t>
      </w:r>
    </w:p>
    <w:p>
      <w:pPr>
        <w:pStyle w:val="7"/>
        <w:rPr>
          <w:color w:val="auto"/>
        </w:rPr>
      </w:pPr>
      <w:r>
        <w:rPr>
          <w:rFonts w:hint="eastAsia"/>
          <w:color w:val="auto"/>
        </w:rPr>
        <w:t>加强执法检查和执法力度，对在地质灾害防治工作中做出突出贡献的单位和个人予以奖励，对违反《山西省地质灾害防治条例》等法律法规，引发地质灾害造成人员伤亡和重大财产损失的，除承担治理责任和费用外，还应依法追究法律责任。</w:t>
      </w:r>
    </w:p>
    <w:p>
      <w:pPr>
        <w:pStyle w:val="4"/>
        <w:spacing w:before="240" w:after="240"/>
        <w:ind w:firstLine="643"/>
        <w:rPr>
          <w:color w:val="auto"/>
        </w:rPr>
      </w:pPr>
      <w:bookmarkStart w:id="30" w:name="_Toc486065162"/>
      <w:bookmarkStart w:id="31" w:name="_Toc12474"/>
      <w:r>
        <w:rPr>
          <w:rFonts w:hint="eastAsia"/>
          <w:color w:val="auto"/>
        </w:rPr>
        <w:t>（三）资金保证</w:t>
      </w:r>
      <w:bookmarkEnd w:id="28"/>
      <w:bookmarkEnd w:id="29"/>
      <w:bookmarkEnd w:id="30"/>
      <w:bookmarkEnd w:id="31"/>
      <w:bookmarkStart w:id="32" w:name="_Toc210117118"/>
      <w:bookmarkStart w:id="33" w:name="_Toc210191403"/>
    </w:p>
    <w:p>
      <w:pPr>
        <w:pStyle w:val="7"/>
        <w:rPr>
          <w:color w:val="auto"/>
        </w:rPr>
      </w:pPr>
      <w:r>
        <w:rPr>
          <w:rFonts w:hint="eastAsia"/>
          <w:color w:val="auto"/>
        </w:rPr>
        <w:t>资金来源。按照《山西省地质灾害防治条例》规定，地质灾害防治工作应当纳入国民经济和社会发展计划。因自然因素形成的地质灾害隐患的治理经费，在划分事权和财权基础上，由各级人民政府负责筹资，健全并完善地质灾害防治专项资金和保障机制，专款专用，加强地质灾害防治专项资金使用情况的监督、审查和管理。原则上特大型地质灾害隐患的治理经费申请国家财政补助，大型地质灾害隐患的治理经费申请省人民政府财政资金，中型地质灾害隐患的治理经费申请市人民政府财政资金，小型地质灾害隐患的治理经费由县人民政府负责筹资。因工程住建等人为因素引发的地质灾害的治理经费，按照“谁引发、谁治理”的原则由责任单位负责筹资。采矿引发的地质灾害防治工程应在规划实施时具体处置，矿山生产引发的地质灾害由矿山单位出资治理，已闭坑矿山或采矿责任人灭失矿山引发的地质灾害及矿山地质环境恢复治理则由各级人民政府及社会各渠道筹资。危及公路、水利、通讯、矿山和企业等安全的地质灾害点的治理经费，由其主管部门或受危及的单位负责。基础性地质灾害防治经费按</w:t>
      </w:r>
      <w:r>
        <w:rPr>
          <w:rFonts w:hint="eastAsia"/>
          <w:color w:val="auto"/>
        </w:rPr>
        <w:t>本规划</w:t>
      </w:r>
      <w:r>
        <w:rPr>
          <w:rFonts w:hint="eastAsia"/>
          <w:color w:val="auto"/>
          <w:lang w:val="en-US" w:eastAsia="zh-CN"/>
        </w:rPr>
        <w:t>申请</w:t>
      </w:r>
      <w:r>
        <w:rPr>
          <w:rFonts w:hint="eastAsia"/>
          <w:color w:val="auto"/>
        </w:rPr>
        <w:t>省级和市</w:t>
      </w:r>
      <w:r>
        <w:rPr>
          <w:rFonts w:hint="eastAsia"/>
          <w:color w:val="auto"/>
          <w:lang w:val="en-US" w:eastAsia="zh-CN"/>
        </w:rPr>
        <w:t>及财政，并列入</w:t>
      </w:r>
      <w:r>
        <w:rPr>
          <w:rFonts w:hint="eastAsia"/>
          <w:color w:val="auto"/>
        </w:rPr>
        <w:t>县级财政预算</w:t>
      </w:r>
      <w:r>
        <w:rPr>
          <w:rFonts w:hint="eastAsia"/>
          <w:color w:val="auto"/>
        </w:rPr>
        <w:t>，由政府安排资金。地质灾害防治经费在积极争取国家、省支持的同时，可通过矿产资源补偿费、探矿权、采矿权出让价款、山西省煤炭可持续发展基金等多渠道筹集，也可本着谁治理谁受益的原则，鼓励社会各界投资进行地质灾害防治工程</w:t>
      </w:r>
      <w:r>
        <w:rPr>
          <w:rFonts w:hint="eastAsia"/>
          <w:color w:val="auto"/>
        </w:rPr>
        <w:t>。</w:t>
      </w:r>
    </w:p>
    <w:p>
      <w:pPr>
        <w:pStyle w:val="7"/>
        <w:rPr>
          <w:color w:val="auto"/>
        </w:rPr>
      </w:pPr>
      <w:r>
        <w:rPr>
          <w:rFonts w:hint="eastAsia"/>
          <w:color w:val="auto"/>
        </w:rPr>
        <w:t>实施安排。新增地质灾害隐患点核查由</w:t>
      </w:r>
      <w:r>
        <w:rPr>
          <w:rFonts w:hint="eastAsia"/>
          <w:color w:val="auto"/>
          <w:lang w:val="en-US" w:eastAsia="zh-CN"/>
        </w:rPr>
        <w:t>省</w:t>
      </w:r>
      <w:r>
        <w:rPr>
          <w:rFonts w:hint="eastAsia"/>
          <w:color w:val="auto"/>
        </w:rPr>
        <w:t>政府部署，</w:t>
      </w:r>
      <w:r>
        <w:rPr>
          <w:rFonts w:hint="eastAsia"/>
          <w:color w:val="auto"/>
          <w:lang w:val="en-US" w:eastAsia="zh-CN"/>
        </w:rPr>
        <w:t>市</w:t>
      </w:r>
      <w:r>
        <w:rPr>
          <w:rFonts w:hint="eastAsia"/>
          <w:color w:val="auto"/>
        </w:rPr>
        <w:t>政府组织实施。保德县地质灾害风险调查评价由自然资源</w:t>
      </w:r>
      <w:r>
        <w:rPr>
          <w:rFonts w:hint="eastAsia"/>
          <w:color w:val="auto"/>
          <w:lang w:val="en-US" w:eastAsia="zh-CN"/>
        </w:rPr>
        <w:t>厅</w:t>
      </w:r>
      <w:r>
        <w:rPr>
          <w:rFonts w:hint="eastAsia"/>
          <w:color w:val="auto"/>
        </w:rPr>
        <w:t>组织实施。22处普适型地质灾害监测点运行维护由</w:t>
      </w:r>
      <w:r>
        <w:rPr>
          <w:rFonts w:hint="eastAsia"/>
          <w:color w:val="auto"/>
          <w:lang w:val="en-US" w:eastAsia="zh-CN"/>
        </w:rPr>
        <w:t>市</w:t>
      </w:r>
      <w:r>
        <w:rPr>
          <w:rFonts w:hint="eastAsia"/>
          <w:color w:val="auto"/>
        </w:rPr>
        <w:t>政府部署，</w:t>
      </w:r>
      <w:r>
        <w:rPr>
          <w:rFonts w:hint="eastAsia"/>
          <w:color w:val="auto"/>
          <w:lang w:val="en-US" w:eastAsia="zh-CN"/>
        </w:rPr>
        <w:t>市规划和自然资源局</w:t>
      </w:r>
      <w:r>
        <w:rPr>
          <w:rFonts w:hint="eastAsia"/>
          <w:color w:val="auto"/>
        </w:rPr>
        <w:t>组织实施。2处</w:t>
      </w:r>
      <w:r>
        <w:rPr>
          <w:rFonts w:hint="eastAsia"/>
          <w:color w:val="auto"/>
          <w:lang w:val="en-US" w:eastAsia="zh-CN"/>
        </w:rPr>
        <w:t>专业</w:t>
      </w:r>
      <w:r>
        <w:rPr>
          <w:rFonts w:hint="eastAsia"/>
          <w:color w:val="auto"/>
        </w:rPr>
        <w:t>地质灾害监测点运行维护由</w:t>
      </w:r>
      <w:r>
        <w:rPr>
          <w:rFonts w:hint="eastAsia"/>
          <w:color w:val="auto"/>
          <w:lang w:val="en-US" w:eastAsia="zh-CN"/>
        </w:rPr>
        <w:t>省</w:t>
      </w:r>
      <w:r>
        <w:rPr>
          <w:rFonts w:hint="eastAsia"/>
          <w:color w:val="auto"/>
        </w:rPr>
        <w:t>政府部署，</w:t>
      </w:r>
      <w:r>
        <w:rPr>
          <w:rFonts w:hint="eastAsia"/>
          <w:color w:val="auto"/>
          <w:lang w:val="en-US" w:eastAsia="zh-CN"/>
        </w:rPr>
        <w:t>自然资源厅</w:t>
      </w:r>
      <w:r>
        <w:rPr>
          <w:rFonts w:hint="eastAsia"/>
          <w:color w:val="auto"/>
        </w:rPr>
        <w:t>组织实施</w:t>
      </w:r>
      <w:r>
        <w:rPr>
          <w:rFonts w:hint="eastAsia"/>
          <w:color w:val="auto"/>
          <w:lang w:eastAsia="zh-CN"/>
        </w:rPr>
        <w:t>。</w:t>
      </w:r>
      <w:r>
        <w:rPr>
          <w:rFonts w:hint="eastAsia"/>
          <w:color w:val="auto"/>
        </w:rPr>
        <w:t>地质灾害气象风险预警和应急指挥系统升级维护、群测群防简易监测设备购置由县政府部署，县政府组织实施。地质灾害监测预警体系建设及培训宣传、地质灾害应急演练由县政府部署，县政府组织实施。地质灾害避让搬迁与治理工程，由</w:t>
      </w:r>
      <w:r>
        <w:rPr>
          <w:rFonts w:hint="eastAsia"/>
          <w:color w:val="auto"/>
          <w:lang w:val="en-US" w:eastAsia="zh-CN"/>
        </w:rPr>
        <w:t>省</w:t>
      </w:r>
      <w:r>
        <w:rPr>
          <w:rFonts w:hint="eastAsia"/>
          <w:color w:val="auto"/>
        </w:rPr>
        <w:t>政府安排部署，县政府组织实施。</w:t>
      </w:r>
    </w:p>
    <w:bookmarkEnd w:id="32"/>
    <w:bookmarkEnd w:id="33"/>
    <w:p>
      <w:pPr>
        <w:pStyle w:val="4"/>
        <w:spacing w:before="240" w:after="240"/>
        <w:ind w:firstLine="643"/>
        <w:rPr>
          <w:color w:val="auto"/>
        </w:rPr>
      </w:pPr>
      <w:bookmarkStart w:id="34" w:name="_Toc256414615"/>
      <w:bookmarkStart w:id="35" w:name="_Toc252969515"/>
      <w:bookmarkStart w:id="36" w:name="_Toc486065163"/>
      <w:bookmarkStart w:id="37" w:name="_Toc1416"/>
      <w:r>
        <w:rPr>
          <w:rFonts w:hint="eastAsia"/>
          <w:color w:val="auto"/>
        </w:rPr>
        <w:t>（四）宣传教育</w:t>
      </w:r>
      <w:bookmarkEnd w:id="34"/>
      <w:bookmarkEnd w:id="35"/>
      <w:r>
        <w:rPr>
          <w:rFonts w:hint="eastAsia"/>
          <w:color w:val="auto"/>
        </w:rPr>
        <w:t>保证</w:t>
      </w:r>
      <w:bookmarkEnd w:id="36"/>
      <w:bookmarkEnd w:id="37"/>
    </w:p>
    <w:p>
      <w:pPr>
        <w:pStyle w:val="7"/>
        <w:rPr>
          <w:color w:val="auto"/>
        </w:rPr>
      </w:pPr>
      <w:r>
        <w:rPr>
          <w:rFonts w:hint="eastAsia"/>
          <w:color w:val="auto"/>
        </w:rPr>
        <w:t>认真做好地质灾害防治基本知识的普及宣传工作，定期组织</w:t>
      </w:r>
      <w:r>
        <w:rPr>
          <w:rFonts w:hint="eastAsia"/>
          <w:color w:val="auto"/>
          <w:lang w:val="en-US" w:eastAsia="zh-CN"/>
        </w:rPr>
        <w:t>完成</w:t>
      </w:r>
      <w:r>
        <w:rPr>
          <w:rFonts w:hint="eastAsia"/>
          <w:color w:val="auto"/>
        </w:rPr>
        <w:t>地质灾害的基本知识与防治常识宣传，提高灾区人民地质灾害减灾、防灾和抗灾能力。各级人民政府及有关部门要将地质灾害防治的法律法规、科学知识纳入宣传教育计划，充分利用电视、广播、报纸、网络等媒介，借助“气象日”、“环境日”、“地球日”、“防灾减灾日”等活动日为契机，以本《规划》和相关政策法规为中心内容，</w:t>
      </w:r>
      <w:r>
        <w:rPr>
          <w:rFonts w:hint="eastAsia"/>
          <w:color w:val="auto"/>
          <w:lang w:val="en-US" w:eastAsia="zh-CN"/>
        </w:rPr>
        <w:t>完成</w:t>
      </w:r>
      <w:r>
        <w:rPr>
          <w:rFonts w:hint="eastAsia"/>
          <w:color w:val="auto"/>
        </w:rPr>
        <w:t>多形式、多层次的宣传活动，加强公众地质灾害防治意识，提高全社会防御地质灾害能力。要把宣传教育的重点放在基层乡（镇）、农村、学校、厂矿企业及地质灾害高、中易发区和灾害隐患点附近的群众，面对面地向群众宣讲识灾、报灾、避灾、救灾等基本知识，提高广大干部群众自防、自救和互救能力。行政主管部门负责组织地质灾害危害严重地区的村镇干部办好群测群防培训班，增强群测群防人员的防灾救灾意识，提高群众的防灾抗灾水平，不断增强全社会抵御地质灾害的能力。</w:t>
      </w:r>
    </w:p>
    <w:p>
      <w:pPr>
        <w:pStyle w:val="7"/>
        <w:rPr>
          <w:color w:val="auto"/>
        </w:rPr>
      </w:pPr>
    </w:p>
    <w:p>
      <w:pPr>
        <w:pStyle w:val="7"/>
        <w:rPr>
          <w:color w:val="auto"/>
        </w:rPr>
      </w:pPr>
    </w:p>
    <w:bookmarkEnd w:id="38"/>
    <w:sectPr>
      <w:footerReference r:id="rId11" w:type="default"/>
      <w:pgSz w:w="11907" w:h="16839"/>
      <w:pgMar w:top="1440" w:right="1803" w:bottom="1440" w:left="1803" w:header="851" w:footer="992" w:gutter="0"/>
      <w:pgNumType w:start="1"/>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ngal">
    <w:altName w:val="RomanS"/>
    <w:panose1 w:val="00000400000000000000"/>
    <w:charset w:val="01"/>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RomanS">
    <w:panose1 w:val="02000400000000000000"/>
    <w:charset w:val="00"/>
    <w:family w:val="auto"/>
    <w:pitch w:val="default"/>
    <w:sig w:usb0="00000207" w:usb1="00000000" w:usb2="00000000" w:usb3="00000000" w:csb0="000001FF" w:csb1="00000000"/>
  </w:font>
  <w:font w:name="Mangal">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60"/>
  <w:drawingGridVerticalSpacing w:val="439"/>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YyZTUzOWJjNTQ4MjU2NGIzYzc2NDc5MzFmNmQ4NmQifQ=="/>
  </w:docVars>
  <w:rsids>
    <w:rsidRoot w:val="007465EA"/>
    <w:rsid w:val="00012933"/>
    <w:rsid w:val="00015E7F"/>
    <w:rsid w:val="0001724C"/>
    <w:rsid w:val="00017E0D"/>
    <w:rsid w:val="000207C9"/>
    <w:rsid w:val="000224C3"/>
    <w:rsid w:val="00022A9B"/>
    <w:rsid w:val="000304B9"/>
    <w:rsid w:val="000325F7"/>
    <w:rsid w:val="000431CD"/>
    <w:rsid w:val="00044D54"/>
    <w:rsid w:val="000471FF"/>
    <w:rsid w:val="000570F5"/>
    <w:rsid w:val="00060BB9"/>
    <w:rsid w:val="00060C72"/>
    <w:rsid w:val="000715F4"/>
    <w:rsid w:val="00072615"/>
    <w:rsid w:val="00073CF9"/>
    <w:rsid w:val="00081032"/>
    <w:rsid w:val="00081A92"/>
    <w:rsid w:val="00083A20"/>
    <w:rsid w:val="0009025B"/>
    <w:rsid w:val="000911B3"/>
    <w:rsid w:val="00092D78"/>
    <w:rsid w:val="000A425C"/>
    <w:rsid w:val="000B3885"/>
    <w:rsid w:val="000C0492"/>
    <w:rsid w:val="000C659E"/>
    <w:rsid w:val="000C6BAD"/>
    <w:rsid w:val="000D08EA"/>
    <w:rsid w:val="000E46B7"/>
    <w:rsid w:val="000E6F81"/>
    <w:rsid w:val="000F0643"/>
    <w:rsid w:val="000F10B1"/>
    <w:rsid w:val="000F44C9"/>
    <w:rsid w:val="000F6B7F"/>
    <w:rsid w:val="00101D43"/>
    <w:rsid w:val="00105C24"/>
    <w:rsid w:val="00121954"/>
    <w:rsid w:val="00126988"/>
    <w:rsid w:val="001303D0"/>
    <w:rsid w:val="0013746D"/>
    <w:rsid w:val="00137C27"/>
    <w:rsid w:val="00140F4C"/>
    <w:rsid w:val="00142CC5"/>
    <w:rsid w:val="00143BC9"/>
    <w:rsid w:val="00146FE1"/>
    <w:rsid w:val="0015108A"/>
    <w:rsid w:val="00155755"/>
    <w:rsid w:val="00155F4F"/>
    <w:rsid w:val="001635D9"/>
    <w:rsid w:val="00164380"/>
    <w:rsid w:val="001736C3"/>
    <w:rsid w:val="00185F02"/>
    <w:rsid w:val="001A18E1"/>
    <w:rsid w:val="001A35C9"/>
    <w:rsid w:val="001B31B0"/>
    <w:rsid w:val="001B36B0"/>
    <w:rsid w:val="001C688D"/>
    <w:rsid w:val="001D08D1"/>
    <w:rsid w:val="001D0DDA"/>
    <w:rsid w:val="001D570A"/>
    <w:rsid w:val="001D681F"/>
    <w:rsid w:val="001E6636"/>
    <w:rsid w:val="001F4D6B"/>
    <w:rsid w:val="001F50D5"/>
    <w:rsid w:val="001F6D57"/>
    <w:rsid w:val="00210EDE"/>
    <w:rsid w:val="00214458"/>
    <w:rsid w:val="00215899"/>
    <w:rsid w:val="00217395"/>
    <w:rsid w:val="00221A16"/>
    <w:rsid w:val="00223B42"/>
    <w:rsid w:val="00225410"/>
    <w:rsid w:val="00227F7A"/>
    <w:rsid w:val="00232B63"/>
    <w:rsid w:val="00235B99"/>
    <w:rsid w:val="0024111E"/>
    <w:rsid w:val="002553D7"/>
    <w:rsid w:val="002567D5"/>
    <w:rsid w:val="00264CC8"/>
    <w:rsid w:val="002654E2"/>
    <w:rsid w:val="00270AA8"/>
    <w:rsid w:val="00273240"/>
    <w:rsid w:val="002740C0"/>
    <w:rsid w:val="002816A1"/>
    <w:rsid w:val="002850A2"/>
    <w:rsid w:val="0028636D"/>
    <w:rsid w:val="002872FE"/>
    <w:rsid w:val="00287CB7"/>
    <w:rsid w:val="00292A47"/>
    <w:rsid w:val="0029316E"/>
    <w:rsid w:val="002936F6"/>
    <w:rsid w:val="002953EA"/>
    <w:rsid w:val="002A0BA4"/>
    <w:rsid w:val="002B0AE6"/>
    <w:rsid w:val="002B2FAD"/>
    <w:rsid w:val="002B5B78"/>
    <w:rsid w:val="002C123F"/>
    <w:rsid w:val="002C406A"/>
    <w:rsid w:val="002C6728"/>
    <w:rsid w:val="002D2722"/>
    <w:rsid w:val="002D3E1B"/>
    <w:rsid w:val="002E3ADB"/>
    <w:rsid w:val="002E3E69"/>
    <w:rsid w:val="002E4CF4"/>
    <w:rsid w:val="002F3A61"/>
    <w:rsid w:val="002F797A"/>
    <w:rsid w:val="00301B10"/>
    <w:rsid w:val="00306217"/>
    <w:rsid w:val="00313641"/>
    <w:rsid w:val="00313E87"/>
    <w:rsid w:val="00315E72"/>
    <w:rsid w:val="00325EDA"/>
    <w:rsid w:val="00334F4A"/>
    <w:rsid w:val="00335319"/>
    <w:rsid w:val="003355CC"/>
    <w:rsid w:val="00343D58"/>
    <w:rsid w:val="00345E08"/>
    <w:rsid w:val="0035118F"/>
    <w:rsid w:val="00356720"/>
    <w:rsid w:val="00361FE8"/>
    <w:rsid w:val="0036702D"/>
    <w:rsid w:val="003706DC"/>
    <w:rsid w:val="00372009"/>
    <w:rsid w:val="003725FA"/>
    <w:rsid w:val="0038574F"/>
    <w:rsid w:val="00396DC2"/>
    <w:rsid w:val="003A6290"/>
    <w:rsid w:val="003A73B0"/>
    <w:rsid w:val="003B2C5E"/>
    <w:rsid w:val="003B4F7E"/>
    <w:rsid w:val="003B59FF"/>
    <w:rsid w:val="003B5F84"/>
    <w:rsid w:val="003C387C"/>
    <w:rsid w:val="003D3DEC"/>
    <w:rsid w:val="003D6BC7"/>
    <w:rsid w:val="003E6505"/>
    <w:rsid w:val="003E7C31"/>
    <w:rsid w:val="003E7D75"/>
    <w:rsid w:val="003F2694"/>
    <w:rsid w:val="003F372C"/>
    <w:rsid w:val="003F5F56"/>
    <w:rsid w:val="00400EAE"/>
    <w:rsid w:val="00404AD9"/>
    <w:rsid w:val="00406C92"/>
    <w:rsid w:val="00411170"/>
    <w:rsid w:val="00411EB5"/>
    <w:rsid w:val="00417959"/>
    <w:rsid w:val="00417E8E"/>
    <w:rsid w:val="004400D4"/>
    <w:rsid w:val="00441786"/>
    <w:rsid w:val="00445B28"/>
    <w:rsid w:val="004463E7"/>
    <w:rsid w:val="0044660D"/>
    <w:rsid w:val="0045103E"/>
    <w:rsid w:val="0045441F"/>
    <w:rsid w:val="00455D44"/>
    <w:rsid w:val="00462D5B"/>
    <w:rsid w:val="0046321B"/>
    <w:rsid w:val="00463B20"/>
    <w:rsid w:val="0046421C"/>
    <w:rsid w:val="004731ED"/>
    <w:rsid w:val="0047711A"/>
    <w:rsid w:val="004817E3"/>
    <w:rsid w:val="00481AC4"/>
    <w:rsid w:val="00486534"/>
    <w:rsid w:val="00493F6D"/>
    <w:rsid w:val="004A40B3"/>
    <w:rsid w:val="004A4192"/>
    <w:rsid w:val="004A46B0"/>
    <w:rsid w:val="004A499A"/>
    <w:rsid w:val="004A5457"/>
    <w:rsid w:val="004C5165"/>
    <w:rsid w:val="004C655F"/>
    <w:rsid w:val="004D004D"/>
    <w:rsid w:val="004D0CE9"/>
    <w:rsid w:val="004D6E04"/>
    <w:rsid w:val="004E1A33"/>
    <w:rsid w:val="004E5778"/>
    <w:rsid w:val="004F72E1"/>
    <w:rsid w:val="00502B36"/>
    <w:rsid w:val="00506D3B"/>
    <w:rsid w:val="005079C0"/>
    <w:rsid w:val="00522AF6"/>
    <w:rsid w:val="0052468A"/>
    <w:rsid w:val="00525488"/>
    <w:rsid w:val="005312FA"/>
    <w:rsid w:val="00537C70"/>
    <w:rsid w:val="00546F72"/>
    <w:rsid w:val="00553324"/>
    <w:rsid w:val="005562EC"/>
    <w:rsid w:val="00564D77"/>
    <w:rsid w:val="0057006C"/>
    <w:rsid w:val="00571510"/>
    <w:rsid w:val="00573BE6"/>
    <w:rsid w:val="005757C1"/>
    <w:rsid w:val="0057637F"/>
    <w:rsid w:val="00576F6F"/>
    <w:rsid w:val="00577C22"/>
    <w:rsid w:val="005841F4"/>
    <w:rsid w:val="005866B6"/>
    <w:rsid w:val="005A57D6"/>
    <w:rsid w:val="005A6570"/>
    <w:rsid w:val="005C026C"/>
    <w:rsid w:val="005C3393"/>
    <w:rsid w:val="005C3F45"/>
    <w:rsid w:val="005C4571"/>
    <w:rsid w:val="005C6DFD"/>
    <w:rsid w:val="005F20ED"/>
    <w:rsid w:val="005F3093"/>
    <w:rsid w:val="00600DE5"/>
    <w:rsid w:val="0060554E"/>
    <w:rsid w:val="006055F1"/>
    <w:rsid w:val="00610B54"/>
    <w:rsid w:val="00616E09"/>
    <w:rsid w:val="006218E8"/>
    <w:rsid w:val="00621DBD"/>
    <w:rsid w:val="00622BA8"/>
    <w:rsid w:val="00625B83"/>
    <w:rsid w:val="006301E1"/>
    <w:rsid w:val="006326FD"/>
    <w:rsid w:val="006328E6"/>
    <w:rsid w:val="00640A7C"/>
    <w:rsid w:val="006444D8"/>
    <w:rsid w:val="00645163"/>
    <w:rsid w:val="006464AB"/>
    <w:rsid w:val="00650B7B"/>
    <w:rsid w:val="00651FFC"/>
    <w:rsid w:val="00652804"/>
    <w:rsid w:val="00664A15"/>
    <w:rsid w:val="00671327"/>
    <w:rsid w:val="006742D9"/>
    <w:rsid w:val="006752A8"/>
    <w:rsid w:val="00680F7D"/>
    <w:rsid w:val="00682EC9"/>
    <w:rsid w:val="00683A2A"/>
    <w:rsid w:val="00683B6F"/>
    <w:rsid w:val="00693667"/>
    <w:rsid w:val="00694F2F"/>
    <w:rsid w:val="006970C3"/>
    <w:rsid w:val="0069721E"/>
    <w:rsid w:val="006A141A"/>
    <w:rsid w:val="006A2402"/>
    <w:rsid w:val="006A2542"/>
    <w:rsid w:val="006B1B0C"/>
    <w:rsid w:val="006B65A4"/>
    <w:rsid w:val="006C06BD"/>
    <w:rsid w:val="006C4D95"/>
    <w:rsid w:val="006C7F90"/>
    <w:rsid w:val="006D1207"/>
    <w:rsid w:val="006D5C6C"/>
    <w:rsid w:val="006F60BD"/>
    <w:rsid w:val="006F67AF"/>
    <w:rsid w:val="0070099A"/>
    <w:rsid w:val="00702F58"/>
    <w:rsid w:val="00711F82"/>
    <w:rsid w:val="00717B7A"/>
    <w:rsid w:val="00720C26"/>
    <w:rsid w:val="007256F1"/>
    <w:rsid w:val="00731BC2"/>
    <w:rsid w:val="00736285"/>
    <w:rsid w:val="00737132"/>
    <w:rsid w:val="00737A66"/>
    <w:rsid w:val="007465EA"/>
    <w:rsid w:val="00746C50"/>
    <w:rsid w:val="00751DBA"/>
    <w:rsid w:val="0075454F"/>
    <w:rsid w:val="0075618A"/>
    <w:rsid w:val="00763094"/>
    <w:rsid w:val="0077140E"/>
    <w:rsid w:val="00773F08"/>
    <w:rsid w:val="0077682A"/>
    <w:rsid w:val="00781B5C"/>
    <w:rsid w:val="00782789"/>
    <w:rsid w:val="007A11C6"/>
    <w:rsid w:val="007A24BF"/>
    <w:rsid w:val="007A27D3"/>
    <w:rsid w:val="007A4E3F"/>
    <w:rsid w:val="007A6AC6"/>
    <w:rsid w:val="007B4903"/>
    <w:rsid w:val="007B5551"/>
    <w:rsid w:val="007C0DF9"/>
    <w:rsid w:val="007D2A62"/>
    <w:rsid w:val="007D34F8"/>
    <w:rsid w:val="007F50B1"/>
    <w:rsid w:val="007F661E"/>
    <w:rsid w:val="00803B4D"/>
    <w:rsid w:val="00810B60"/>
    <w:rsid w:val="00815276"/>
    <w:rsid w:val="00817ECB"/>
    <w:rsid w:val="00821BC4"/>
    <w:rsid w:val="008221FA"/>
    <w:rsid w:val="00823C85"/>
    <w:rsid w:val="00824275"/>
    <w:rsid w:val="008302C0"/>
    <w:rsid w:val="008401FC"/>
    <w:rsid w:val="00840B8F"/>
    <w:rsid w:val="00842916"/>
    <w:rsid w:val="00844700"/>
    <w:rsid w:val="00847C4B"/>
    <w:rsid w:val="00850014"/>
    <w:rsid w:val="0085198F"/>
    <w:rsid w:val="0086483A"/>
    <w:rsid w:val="00865A53"/>
    <w:rsid w:val="00866460"/>
    <w:rsid w:val="008760AD"/>
    <w:rsid w:val="008805E8"/>
    <w:rsid w:val="00885032"/>
    <w:rsid w:val="00886556"/>
    <w:rsid w:val="00886610"/>
    <w:rsid w:val="00892AC4"/>
    <w:rsid w:val="00894D2B"/>
    <w:rsid w:val="008970AA"/>
    <w:rsid w:val="008A4B97"/>
    <w:rsid w:val="008A51B0"/>
    <w:rsid w:val="008A53F1"/>
    <w:rsid w:val="008A66F0"/>
    <w:rsid w:val="008A7400"/>
    <w:rsid w:val="008B78E0"/>
    <w:rsid w:val="008C0AD5"/>
    <w:rsid w:val="008C17CD"/>
    <w:rsid w:val="008D55B3"/>
    <w:rsid w:val="008D6B68"/>
    <w:rsid w:val="008E1DD8"/>
    <w:rsid w:val="008E20FE"/>
    <w:rsid w:val="008E4D48"/>
    <w:rsid w:val="008F0672"/>
    <w:rsid w:val="008F19D3"/>
    <w:rsid w:val="008F356A"/>
    <w:rsid w:val="00904A11"/>
    <w:rsid w:val="00905954"/>
    <w:rsid w:val="0090644F"/>
    <w:rsid w:val="00906573"/>
    <w:rsid w:val="009173FB"/>
    <w:rsid w:val="0091743F"/>
    <w:rsid w:val="00925B96"/>
    <w:rsid w:val="0093304D"/>
    <w:rsid w:val="00934321"/>
    <w:rsid w:val="00943C2D"/>
    <w:rsid w:val="009517D8"/>
    <w:rsid w:val="00956586"/>
    <w:rsid w:val="00956EB6"/>
    <w:rsid w:val="00963A45"/>
    <w:rsid w:val="00976D0B"/>
    <w:rsid w:val="00983EBB"/>
    <w:rsid w:val="009857B5"/>
    <w:rsid w:val="009866C9"/>
    <w:rsid w:val="0099288B"/>
    <w:rsid w:val="0099751C"/>
    <w:rsid w:val="00997A50"/>
    <w:rsid w:val="009A3D3A"/>
    <w:rsid w:val="009A6A67"/>
    <w:rsid w:val="009C5B58"/>
    <w:rsid w:val="009D1275"/>
    <w:rsid w:val="009D399B"/>
    <w:rsid w:val="009D4EDC"/>
    <w:rsid w:val="009E1053"/>
    <w:rsid w:val="009E2387"/>
    <w:rsid w:val="009F2095"/>
    <w:rsid w:val="009F5172"/>
    <w:rsid w:val="009F5C91"/>
    <w:rsid w:val="009F6251"/>
    <w:rsid w:val="00A024F8"/>
    <w:rsid w:val="00A03BF0"/>
    <w:rsid w:val="00A07526"/>
    <w:rsid w:val="00A17717"/>
    <w:rsid w:val="00A21C43"/>
    <w:rsid w:val="00A27D11"/>
    <w:rsid w:val="00A35593"/>
    <w:rsid w:val="00A36D95"/>
    <w:rsid w:val="00A45643"/>
    <w:rsid w:val="00A62653"/>
    <w:rsid w:val="00A64166"/>
    <w:rsid w:val="00A65388"/>
    <w:rsid w:val="00A65694"/>
    <w:rsid w:val="00A6601B"/>
    <w:rsid w:val="00A67062"/>
    <w:rsid w:val="00A803E6"/>
    <w:rsid w:val="00A937E9"/>
    <w:rsid w:val="00AA0272"/>
    <w:rsid w:val="00AA35C3"/>
    <w:rsid w:val="00AC0586"/>
    <w:rsid w:val="00AC2209"/>
    <w:rsid w:val="00AC7FA5"/>
    <w:rsid w:val="00AD6E4E"/>
    <w:rsid w:val="00AD74F1"/>
    <w:rsid w:val="00AE55FA"/>
    <w:rsid w:val="00AE7C6B"/>
    <w:rsid w:val="00AE7CA5"/>
    <w:rsid w:val="00AE7CBD"/>
    <w:rsid w:val="00AE7D35"/>
    <w:rsid w:val="00AF1DF3"/>
    <w:rsid w:val="00AF26A2"/>
    <w:rsid w:val="00AF4487"/>
    <w:rsid w:val="00AF52D1"/>
    <w:rsid w:val="00AF6D0B"/>
    <w:rsid w:val="00B07B8B"/>
    <w:rsid w:val="00B118AF"/>
    <w:rsid w:val="00B159ED"/>
    <w:rsid w:val="00B167CF"/>
    <w:rsid w:val="00B242A0"/>
    <w:rsid w:val="00B32AED"/>
    <w:rsid w:val="00B44703"/>
    <w:rsid w:val="00B51B46"/>
    <w:rsid w:val="00B5796D"/>
    <w:rsid w:val="00B61CAF"/>
    <w:rsid w:val="00B62841"/>
    <w:rsid w:val="00B6345E"/>
    <w:rsid w:val="00B6607E"/>
    <w:rsid w:val="00B707BC"/>
    <w:rsid w:val="00B7146C"/>
    <w:rsid w:val="00B75085"/>
    <w:rsid w:val="00B80335"/>
    <w:rsid w:val="00B82AAA"/>
    <w:rsid w:val="00B82F63"/>
    <w:rsid w:val="00B8408C"/>
    <w:rsid w:val="00B900E2"/>
    <w:rsid w:val="00B93BA5"/>
    <w:rsid w:val="00B953A9"/>
    <w:rsid w:val="00BA1A67"/>
    <w:rsid w:val="00BA26D9"/>
    <w:rsid w:val="00BB2113"/>
    <w:rsid w:val="00BB57D2"/>
    <w:rsid w:val="00BC2C67"/>
    <w:rsid w:val="00BC6F13"/>
    <w:rsid w:val="00BD0C12"/>
    <w:rsid w:val="00BD1FB4"/>
    <w:rsid w:val="00BD39D3"/>
    <w:rsid w:val="00BE2F06"/>
    <w:rsid w:val="00BE7713"/>
    <w:rsid w:val="00BF0B7A"/>
    <w:rsid w:val="00BF1DF0"/>
    <w:rsid w:val="00BF6CED"/>
    <w:rsid w:val="00C01D31"/>
    <w:rsid w:val="00C0219D"/>
    <w:rsid w:val="00C02A8A"/>
    <w:rsid w:val="00C04086"/>
    <w:rsid w:val="00C07842"/>
    <w:rsid w:val="00C11D98"/>
    <w:rsid w:val="00C23108"/>
    <w:rsid w:val="00C235AF"/>
    <w:rsid w:val="00C30B28"/>
    <w:rsid w:val="00C328BA"/>
    <w:rsid w:val="00C32C77"/>
    <w:rsid w:val="00C37F3B"/>
    <w:rsid w:val="00C45C04"/>
    <w:rsid w:val="00C4693C"/>
    <w:rsid w:val="00C51B62"/>
    <w:rsid w:val="00C6515A"/>
    <w:rsid w:val="00C6760A"/>
    <w:rsid w:val="00C70AD6"/>
    <w:rsid w:val="00C711C2"/>
    <w:rsid w:val="00C73DB5"/>
    <w:rsid w:val="00C75AE0"/>
    <w:rsid w:val="00C860E7"/>
    <w:rsid w:val="00C876D5"/>
    <w:rsid w:val="00C91700"/>
    <w:rsid w:val="00C92206"/>
    <w:rsid w:val="00C94A18"/>
    <w:rsid w:val="00C95343"/>
    <w:rsid w:val="00CA0290"/>
    <w:rsid w:val="00CA1FEE"/>
    <w:rsid w:val="00CA490E"/>
    <w:rsid w:val="00CA545A"/>
    <w:rsid w:val="00CB3FB5"/>
    <w:rsid w:val="00CB4AB0"/>
    <w:rsid w:val="00CB648D"/>
    <w:rsid w:val="00CC17E2"/>
    <w:rsid w:val="00CC22F5"/>
    <w:rsid w:val="00CC3A56"/>
    <w:rsid w:val="00CC7216"/>
    <w:rsid w:val="00CD0731"/>
    <w:rsid w:val="00CD7C31"/>
    <w:rsid w:val="00CE1281"/>
    <w:rsid w:val="00CE6938"/>
    <w:rsid w:val="00CF315E"/>
    <w:rsid w:val="00D149C8"/>
    <w:rsid w:val="00D150BD"/>
    <w:rsid w:val="00D1548D"/>
    <w:rsid w:val="00D219CB"/>
    <w:rsid w:val="00D21B3D"/>
    <w:rsid w:val="00D25730"/>
    <w:rsid w:val="00D2692D"/>
    <w:rsid w:val="00D32A4B"/>
    <w:rsid w:val="00D36C9F"/>
    <w:rsid w:val="00D37CC0"/>
    <w:rsid w:val="00D429E9"/>
    <w:rsid w:val="00D430BD"/>
    <w:rsid w:val="00D46651"/>
    <w:rsid w:val="00D47757"/>
    <w:rsid w:val="00D47870"/>
    <w:rsid w:val="00D51F4D"/>
    <w:rsid w:val="00D52418"/>
    <w:rsid w:val="00D52A55"/>
    <w:rsid w:val="00D55EA0"/>
    <w:rsid w:val="00D6677D"/>
    <w:rsid w:val="00D66BB4"/>
    <w:rsid w:val="00D70C04"/>
    <w:rsid w:val="00D71CDB"/>
    <w:rsid w:val="00D76ED9"/>
    <w:rsid w:val="00D81856"/>
    <w:rsid w:val="00D821E8"/>
    <w:rsid w:val="00D827FD"/>
    <w:rsid w:val="00DA38F7"/>
    <w:rsid w:val="00DB0FDF"/>
    <w:rsid w:val="00DB12DF"/>
    <w:rsid w:val="00DC7D35"/>
    <w:rsid w:val="00DD4A2F"/>
    <w:rsid w:val="00DD5004"/>
    <w:rsid w:val="00DE29CA"/>
    <w:rsid w:val="00DF2F98"/>
    <w:rsid w:val="00DF7E9E"/>
    <w:rsid w:val="00E1053D"/>
    <w:rsid w:val="00E11327"/>
    <w:rsid w:val="00E23164"/>
    <w:rsid w:val="00E235D8"/>
    <w:rsid w:val="00E242A4"/>
    <w:rsid w:val="00E26343"/>
    <w:rsid w:val="00E27C50"/>
    <w:rsid w:val="00E3034B"/>
    <w:rsid w:val="00E35B88"/>
    <w:rsid w:val="00E36747"/>
    <w:rsid w:val="00E547F5"/>
    <w:rsid w:val="00E5645D"/>
    <w:rsid w:val="00E56751"/>
    <w:rsid w:val="00E57B26"/>
    <w:rsid w:val="00E61CEC"/>
    <w:rsid w:val="00E73580"/>
    <w:rsid w:val="00E77998"/>
    <w:rsid w:val="00E77B97"/>
    <w:rsid w:val="00E81986"/>
    <w:rsid w:val="00E82FA1"/>
    <w:rsid w:val="00E8534F"/>
    <w:rsid w:val="00E91D38"/>
    <w:rsid w:val="00E928F9"/>
    <w:rsid w:val="00E9298F"/>
    <w:rsid w:val="00E931D3"/>
    <w:rsid w:val="00E94547"/>
    <w:rsid w:val="00EA18D0"/>
    <w:rsid w:val="00EA4CB2"/>
    <w:rsid w:val="00EA61CF"/>
    <w:rsid w:val="00EB09A2"/>
    <w:rsid w:val="00EC2A4E"/>
    <w:rsid w:val="00EC36E2"/>
    <w:rsid w:val="00EC42E4"/>
    <w:rsid w:val="00EC5F7E"/>
    <w:rsid w:val="00EC641A"/>
    <w:rsid w:val="00ED6B01"/>
    <w:rsid w:val="00ED70FC"/>
    <w:rsid w:val="00EE019E"/>
    <w:rsid w:val="00EE47AD"/>
    <w:rsid w:val="00EF01EC"/>
    <w:rsid w:val="00EF18A9"/>
    <w:rsid w:val="00EF1EAE"/>
    <w:rsid w:val="00EF4BC1"/>
    <w:rsid w:val="00EF7A29"/>
    <w:rsid w:val="00F0615F"/>
    <w:rsid w:val="00F067B1"/>
    <w:rsid w:val="00F16C59"/>
    <w:rsid w:val="00F2068F"/>
    <w:rsid w:val="00F20A65"/>
    <w:rsid w:val="00F21EA7"/>
    <w:rsid w:val="00F249EF"/>
    <w:rsid w:val="00F30BE1"/>
    <w:rsid w:val="00F34895"/>
    <w:rsid w:val="00F3661A"/>
    <w:rsid w:val="00F61EB7"/>
    <w:rsid w:val="00F62102"/>
    <w:rsid w:val="00F66048"/>
    <w:rsid w:val="00F66DB1"/>
    <w:rsid w:val="00F72ABB"/>
    <w:rsid w:val="00F8054D"/>
    <w:rsid w:val="00F932D0"/>
    <w:rsid w:val="00FA0C95"/>
    <w:rsid w:val="00FB0F4C"/>
    <w:rsid w:val="00FB3E44"/>
    <w:rsid w:val="00FB56A6"/>
    <w:rsid w:val="00FC41E2"/>
    <w:rsid w:val="00FC6968"/>
    <w:rsid w:val="00FC73BE"/>
    <w:rsid w:val="00FD02F4"/>
    <w:rsid w:val="00FD206A"/>
    <w:rsid w:val="00FD35BD"/>
    <w:rsid w:val="00FD6A67"/>
    <w:rsid w:val="00FD74B5"/>
    <w:rsid w:val="00FE535D"/>
    <w:rsid w:val="00FF034A"/>
    <w:rsid w:val="00FF0D09"/>
    <w:rsid w:val="00FF2EC1"/>
    <w:rsid w:val="00FF4357"/>
    <w:rsid w:val="00FF7863"/>
    <w:rsid w:val="06C23411"/>
    <w:rsid w:val="07563CB1"/>
    <w:rsid w:val="07B50CE3"/>
    <w:rsid w:val="09E67BDD"/>
    <w:rsid w:val="0CB77712"/>
    <w:rsid w:val="0DDF2103"/>
    <w:rsid w:val="0E15651D"/>
    <w:rsid w:val="0F4311B5"/>
    <w:rsid w:val="1078333A"/>
    <w:rsid w:val="11716160"/>
    <w:rsid w:val="117D669A"/>
    <w:rsid w:val="124B3D62"/>
    <w:rsid w:val="14255844"/>
    <w:rsid w:val="159B19FD"/>
    <w:rsid w:val="15B34DFA"/>
    <w:rsid w:val="16434093"/>
    <w:rsid w:val="17A4103D"/>
    <w:rsid w:val="17E42714"/>
    <w:rsid w:val="1FE333AD"/>
    <w:rsid w:val="207F650F"/>
    <w:rsid w:val="20D54EC6"/>
    <w:rsid w:val="229D6DB5"/>
    <w:rsid w:val="23757D31"/>
    <w:rsid w:val="242B2542"/>
    <w:rsid w:val="267933D0"/>
    <w:rsid w:val="26E33204"/>
    <w:rsid w:val="27D63670"/>
    <w:rsid w:val="292C7176"/>
    <w:rsid w:val="29F568CE"/>
    <w:rsid w:val="2A083D64"/>
    <w:rsid w:val="2C3806EC"/>
    <w:rsid w:val="2C3D45EB"/>
    <w:rsid w:val="2D0D2300"/>
    <w:rsid w:val="2DC375CA"/>
    <w:rsid w:val="2E04563D"/>
    <w:rsid w:val="2E6A75E3"/>
    <w:rsid w:val="306A6F0F"/>
    <w:rsid w:val="333A0650"/>
    <w:rsid w:val="336965FA"/>
    <w:rsid w:val="33FF66DF"/>
    <w:rsid w:val="34D81ECE"/>
    <w:rsid w:val="36DE19F2"/>
    <w:rsid w:val="36FF7BE6"/>
    <w:rsid w:val="38E24A18"/>
    <w:rsid w:val="39443AA2"/>
    <w:rsid w:val="3A1C460B"/>
    <w:rsid w:val="3C867288"/>
    <w:rsid w:val="3F163D1F"/>
    <w:rsid w:val="405D6458"/>
    <w:rsid w:val="40CD2B93"/>
    <w:rsid w:val="411549CF"/>
    <w:rsid w:val="41763044"/>
    <w:rsid w:val="41D52631"/>
    <w:rsid w:val="42213106"/>
    <w:rsid w:val="435A0663"/>
    <w:rsid w:val="4365471B"/>
    <w:rsid w:val="43977E35"/>
    <w:rsid w:val="447D4398"/>
    <w:rsid w:val="468F0338"/>
    <w:rsid w:val="47055604"/>
    <w:rsid w:val="47306EFC"/>
    <w:rsid w:val="479C686A"/>
    <w:rsid w:val="48DB3738"/>
    <w:rsid w:val="4F9842DC"/>
    <w:rsid w:val="51493067"/>
    <w:rsid w:val="52554706"/>
    <w:rsid w:val="55EC6A0C"/>
    <w:rsid w:val="570C7C24"/>
    <w:rsid w:val="58E84C35"/>
    <w:rsid w:val="5966451A"/>
    <w:rsid w:val="5AA1498D"/>
    <w:rsid w:val="5B050E6A"/>
    <w:rsid w:val="5D9A2E41"/>
    <w:rsid w:val="5DD862B5"/>
    <w:rsid w:val="5DDC2209"/>
    <w:rsid w:val="5F4E2C09"/>
    <w:rsid w:val="5FB92779"/>
    <w:rsid w:val="61B054B5"/>
    <w:rsid w:val="62155A29"/>
    <w:rsid w:val="63B161D4"/>
    <w:rsid w:val="63EC0819"/>
    <w:rsid w:val="662A1442"/>
    <w:rsid w:val="66D35104"/>
    <w:rsid w:val="67230353"/>
    <w:rsid w:val="68896A60"/>
    <w:rsid w:val="6A6448E0"/>
    <w:rsid w:val="6AA208C4"/>
    <w:rsid w:val="6AAE2786"/>
    <w:rsid w:val="6C302431"/>
    <w:rsid w:val="6D477C30"/>
    <w:rsid w:val="708C39FA"/>
    <w:rsid w:val="70AE46EB"/>
    <w:rsid w:val="72AA26FD"/>
    <w:rsid w:val="73722122"/>
    <w:rsid w:val="746A3DEA"/>
    <w:rsid w:val="74891F23"/>
    <w:rsid w:val="762F60FD"/>
    <w:rsid w:val="7B6E7B2F"/>
    <w:rsid w:val="7B8C56A4"/>
    <w:rsid w:val="7C010CCF"/>
    <w:rsid w:val="7C562AC5"/>
    <w:rsid w:val="7CC701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仿宋" w:hAnsi="仿宋" w:eastAsia="仿宋" w:cs="Times New Roman"/>
      <w:kern w:val="2"/>
      <w:sz w:val="32"/>
      <w:szCs w:val="32"/>
      <w:lang w:val="en-US" w:eastAsia="zh-CN" w:bidi="ar-SA"/>
    </w:rPr>
  </w:style>
  <w:style w:type="paragraph" w:styleId="3">
    <w:name w:val="heading 1"/>
    <w:basedOn w:val="1"/>
    <w:next w:val="1"/>
    <w:link w:val="19"/>
    <w:qFormat/>
    <w:uiPriority w:val="99"/>
    <w:pPr>
      <w:keepNext/>
      <w:keepLines/>
      <w:adjustRightInd w:val="0"/>
      <w:snapToGrid w:val="0"/>
      <w:spacing w:before="340" w:after="330"/>
      <w:outlineLvl w:val="0"/>
    </w:pPr>
    <w:rPr>
      <w:rFonts w:ascii="黑体" w:hAnsi="黑体" w:eastAsia="黑体"/>
      <w:b/>
      <w:kern w:val="44"/>
      <w:szCs w:val="20"/>
    </w:rPr>
  </w:style>
  <w:style w:type="paragraph" w:styleId="4">
    <w:name w:val="heading 2"/>
    <w:basedOn w:val="1"/>
    <w:next w:val="1"/>
    <w:link w:val="20"/>
    <w:qFormat/>
    <w:uiPriority w:val="99"/>
    <w:pPr>
      <w:keepNext/>
      <w:keepLines/>
      <w:spacing w:before="120" w:after="120"/>
      <w:outlineLvl w:val="1"/>
    </w:pPr>
    <w:rPr>
      <w:rFonts w:ascii="楷体" w:hAnsi="楷体" w:eastAsia="楷体"/>
      <w:b/>
      <w:kern w:val="0"/>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firstLine="0"/>
    </w:pPr>
  </w:style>
  <w:style w:type="paragraph" w:styleId="5">
    <w:name w:val="Normal Indent"/>
    <w:basedOn w:val="1"/>
    <w:link w:val="33"/>
    <w:qFormat/>
    <w:uiPriority w:val="0"/>
    <w:pPr>
      <w:adjustRightInd w:val="0"/>
      <w:snapToGrid w:val="0"/>
      <w:ind w:firstLine="0" w:firstLineChars="0"/>
      <w:jc w:val="center"/>
    </w:pPr>
    <w:rPr>
      <w:rFonts w:ascii="黑体" w:hAnsi="黑体" w:eastAsia="黑体" w:cs="Mangal"/>
      <w:b/>
      <w:snapToGrid w:val="0"/>
      <w:kern w:val="0"/>
      <w:sz w:val="21"/>
      <w:szCs w:val="21"/>
      <w:u w:color="000000"/>
      <w:lang w:bidi="hi-IN"/>
    </w:rPr>
  </w:style>
  <w:style w:type="paragraph" w:styleId="6">
    <w:name w:val="Document Map"/>
    <w:basedOn w:val="1"/>
    <w:link w:val="21"/>
    <w:semiHidden/>
    <w:qFormat/>
    <w:uiPriority w:val="99"/>
    <w:pPr>
      <w:shd w:val="clear" w:color="auto" w:fill="000080"/>
    </w:pPr>
    <w:rPr>
      <w:rFonts w:ascii="Times New Roman" w:hAnsi="Times New Roman"/>
      <w:kern w:val="0"/>
      <w:sz w:val="2"/>
      <w:szCs w:val="20"/>
    </w:rPr>
  </w:style>
  <w:style w:type="paragraph" w:styleId="7">
    <w:name w:val="annotation text"/>
    <w:basedOn w:val="1"/>
    <w:link w:val="22"/>
    <w:semiHidden/>
    <w:qFormat/>
    <w:uiPriority w:val="99"/>
    <w:pPr>
      <w:jc w:val="left"/>
    </w:pPr>
    <w:rPr>
      <w:kern w:val="0"/>
      <w:szCs w:val="20"/>
    </w:rPr>
  </w:style>
  <w:style w:type="paragraph" w:styleId="8">
    <w:name w:val="Balloon Text"/>
    <w:basedOn w:val="1"/>
    <w:link w:val="23"/>
    <w:semiHidden/>
    <w:qFormat/>
    <w:uiPriority w:val="99"/>
    <w:rPr>
      <w:kern w:val="0"/>
      <w:sz w:val="2"/>
      <w:szCs w:val="20"/>
    </w:rPr>
  </w:style>
  <w:style w:type="paragraph" w:styleId="9">
    <w:name w:val="footer"/>
    <w:basedOn w:val="1"/>
    <w:link w:val="24"/>
    <w:qFormat/>
    <w:uiPriority w:val="99"/>
    <w:pPr>
      <w:tabs>
        <w:tab w:val="center" w:pos="4153"/>
        <w:tab w:val="right" w:pos="8306"/>
      </w:tabs>
      <w:snapToGrid w:val="0"/>
      <w:jc w:val="left"/>
    </w:pPr>
    <w:rPr>
      <w:rFonts w:ascii="Times New Roman" w:hAnsi="Times New Roman" w:eastAsia="宋体"/>
      <w:kern w:val="0"/>
      <w:sz w:val="18"/>
      <w:szCs w:val="20"/>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20"/>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annotation subject"/>
    <w:basedOn w:val="7"/>
    <w:next w:val="7"/>
    <w:link w:val="26"/>
    <w:semiHidden/>
    <w:qFormat/>
    <w:uiPriority w:val="99"/>
    <w:rPr>
      <w:b/>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99"/>
    <w:rPr>
      <w:rFonts w:cs="Times New Roman"/>
      <w:color w:val="0563C1"/>
      <w:u w:val="single"/>
    </w:rPr>
  </w:style>
  <w:style w:type="character" w:styleId="18">
    <w:name w:val="annotation reference"/>
    <w:basedOn w:val="16"/>
    <w:semiHidden/>
    <w:qFormat/>
    <w:uiPriority w:val="99"/>
    <w:rPr>
      <w:rFonts w:cs="Times New Roman"/>
      <w:sz w:val="21"/>
    </w:rPr>
  </w:style>
  <w:style w:type="character" w:customStyle="1" w:styleId="19">
    <w:name w:val="标题 1 Char"/>
    <w:basedOn w:val="16"/>
    <w:link w:val="3"/>
    <w:qFormat/>
    <w:locked/>
    <w:uiPriority w:val="99"/>
    <w:rPr>
      <w:rFonts w:ascii="黑体" w:hAnsi="黑体" w:eastAsia="黑体"/>
      <w:b/>
      <w:kern w:val="44"/>
      <w:sz w:val="32"/>
    </w:rPr>
  </w:style>
  <w:style w:type="character" w:customStyle="1" w:styleId="20">
    <w:name w:val="标题 2 Char"/>
    <w:basedOn w:val="16"/>
    <w:link w:val="4"/>
    <w:qFormat/>
    <w:locked/>
    <w:uiPriority w:val="99"/>
    <w:rPr>
      <w:rFonts w:ascii="楷体" w:hAnsi="楷体" w:eastAsia="楷体"/>
      <w:b/>
      <w:sz w:val="32"/>
    </w:rPr>
  </w:style>
  <w:style w:type="character" w:customStyle="1" w:styleId="21">
    <w:name w:val="文档结构图 Char"/>
    <w:basedOn w:val="16"/>
    <w:link w:val="6"/>
    <w:semiHidden/>
    <w:qFormat/>
    <w:locked/>
    <w:uiPriority w:val="99"/>
    <w:rPr>
      <w:rFonts w:ascii="Times New Roman" w:hAnsi="Times New Roman" w:eastAsia="仿宋"/>
      <w:sz w:val="2"/>
    </w:rPr>
  </w:style>
  <w:style w:type="character" w:customStyle="1" w:styleId="22">
    <w:name w:val="批注文字 Char"/>
    <w:basedOn w:val="16"/>
    <w:link w:val="7"/>
    <w:semiHidden/>
    <w:qFormat/>
    <w:locked/>
    <w:uiPriority w:val="99"/>
    <w:rPr>
      <w:rFonts w:ascii="仿宋" w:hAnsi="仿宋" w:eastAsia="仿宋"/>
      <w:sz w:val="32"/>
    </w:rPr>
  </w:style>
  <w:style w:type="character" w:customStyle="1" w:styleId="23">
    <w:name w:val="批注框文本 Char"/>
    <w:basedOn w:val="16"/>
    <w:link w:val="8"/>
    <w:semiHidden/>
    <w:qFormat/>
    <w:locked/>
    <w:uiPriority w:val="99"/>
    <w:rPr>
      <w:rFonts w:ascii="仿宋" w:hAnsi="仿宋" w:eastAsia="仿宋"/>
      <w:sz w:val="2"/>
    </w:rPr>
  </w:style>
  <w:style w:type="character" w:customStyle="1" w:styleId="24">
    <w:name w:val="页脚 Char"/>
    <w:basedOn w:val="16"/>
    <w:link w:val="9"/>
    <w:qFormat/>
    <w:locked/>
    <w:uiPriority w:val="99"/>
    <w:rPr>
      <w:sz w:val="18"/>
    </w:rPr>
  </w:style>
  <w:style w:type="character" w:customStyle="1" w:styleId="25">
    <w:name w:val="页眉 Char"/>
    <w:basedOn w:val="16"/>
    <w:link w:val="10"/>
    <w:qFormat/>
    <w:locked/>
    <w:uiPriority w:val="99"/>
    <w:rPr>
      <w:sz w:val="18"/>
    </w:rPr>
  </w:style>
  <w:style w:type="character" w:customStyle="1" w:styleId="26">
    <w:name w:val="批注主题 Char"/>
    <w:basedOn w:val="22"/>
    <w:link w:val="13"/>
    <w:semiHidden/>
    <w:qFormat/>
    <w:locked/>
    <w:uiPriority w:val="99"/>
    <w:rPr>
      <w:b/>
    </w:rPr>
  </w:style>
  <w:style w:type="paragraph" w:customStyle="1" w:styleId="27">
    <w:name w:val="报告正文"/>
    <w:basedOn w:val="1"/>
    <w:link w:val="28"/>
    <w:qFormat/>
    <w:uiPriority w:val="99"/>
    <w:pPr>
      <w:spacing w:line="520" w:lineRule="exact"/>
      <w:ind w:firstLine="200"/>
    </w:pPr>
    <w:rPr>
      <w:rFonts w:ascii="Times New Roman" w:hAnsi="Times New Roman" w:eastAsia="宋体" w:cs="Mangal"/>
      <w:kern w:val="0"/>
      <w:sz w:val="24"/>
      <w:szCs w:val="20"/>
      <w:lang w:bidi="hi-IN"/>
    </w:rPr>
  </w:style>
  <w:style w:type="character" w:customStyle="1" w:styleId="28">
    <w:name w:val="报告正文 Char"/>
    <w:link w:val="27"/>
    <w:qFormat/>
    <w:locked/>
    <w:uiPriority w:val="99"/>
    <w:rPr>
      <w:rFonts w:ascii="Times New Roman" w:hAnsi="Times New Roman" w:eastAsia="宋体"/>
      <w:sz w:val="24"/>
    </w:rPr>
  </w:style>
  <w:style w:type="paragraph" w:customStyle="1" w:styleId="29">
    <w:name w:val="TOC 标题1"/>
    <w:basedOn w:val="3"/>
    <w:next w:val="1"/>
    <w:qFormat/>
    <w:uiPriority w:val="99"/>
    <w:pPr>
      <w:widowControl/>
      <w:adjustRightInd/>
      <w:snapToGrid/>
      <w:spacing w:before="240" w:after="0" w:line="259" w:lineRule="auto"/>
      <w:ind w:firstLine="0" w:firstLineChars="0"/>
      <w:jc w:val="left"/>
      <w:outlineLvl w:val="9"/>
    </w:pPr>
    <w:rPr>
      <w:rFonts w:ascii="Calibri Light" w:hAnsi="Calibri Light" w:eastAsia="宋体"/>
      <w:b w:val="0"/>
      <w:color w:val="2E74B5"/>
      <w:kern w:val="0"/>
    </w:rPr>
  </w:style>
  <w:style w:type="paragraph" w:customStyle="1" w:styleId="30">
    <w:name w:val="修订1"/>
    <w:hidden/>
    <w:semiHidden/>
    <w:qFormat/>
    <w:uiPriority w:val="99"/>
    <w:rPr>
      <w:rFonts w:ascii="仿宋" w:hAnsi="仿宋" w:eastAsia="仿宋" w:cs="Times New Roman"/>
      <w:kern w:val="2"/>
      <w:sz w:val="32"/>
      <w:szCs w:val="32"/>
      <w:lang w:val="en-US" w:eastAsia="zh-CN" w:bidi="ar-SA"/>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我的表哥"/>
    <w:basedOn w:val="1"/>
    <w:qFormat/>
    <w:uiPriority w:val="0"/>
    <w:pPr>
      <w:spacing w:line="240" w:lineRule="auto"/>
      <w:ind w:firstLine="0" w:firstLineChars="0"/>
      <w:jc w:val="center"/>
    </w:pPr>
    <w:rPr>
      <w:rFonts w:ascii="Times New Roman" w:hAnsi="Times New Roman" w:eastAsia="宋体"/>
      <w:sz w:val="24"/>
      <w:szCs w:val="24"/>
    </w:rPr>
  </w:style>
  <w:style w:type="character" w:customStyle="1" w:styleId="33">
    <w:name w:val="正文缩进 Char"/>
    <w:link w:val="5"/>
    <w:qFormat/>
    <w:uiPriority w:val="0"/>
    <w:rPr>
      <w:rFonts w:ascii="黑体" w:hAnsi="黑体" w:eastAsia="黑体"/>
      <w:b/>
      <w:snapToGrid w:val="0"/>
      <w:sz w:val="21"/>
      <w:szCs w:val="21"/>
      <w:u w:color="000000"/>
    </w:rPr>
  </w:style>
  <w:style w:type="paragraph" w:customStyle="1" w:styleId="34">
    <w:name w:val="表文字"/>
    <w:basedOn w:val="1"/>
    <w:qFormat/>
    <w:uiPriority w:val="0"/>
    <w:pPr>
      <w:adjustRightInd w:val="0"/>
      <w:snapToGrid w:val="0"/>
      <w:spacing w:line="240" w:lineRule="auto"/>
      <w:ind w:firstLine="0" w:firstLineChars="0"/>
      <w:jc w:val="center"/>
    </w:pPr>
    <w:rPr>
      <w:rFonts w:ascii="Times New Roman" w:hAnsi="Times New Roman" w:eastAsia="宋体"/>
      <w:bCs/>
      <w:snapToGrid w:val="0"/>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35</Pages>
  <Words>13597</Words>
  <Characters>3325</Characters>
  <Lines>27</Lines>
  <Paragraphs>33</Paragraphs>
  <TotalTime>0</TotalTime>
  <ScaleCrop>false</ScaleCrop>
  <LinksUpToDate>false</LinksUpToDate>
  <CharactersWithSpaces>16889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2017-08-15T07:43:00Z</dcterms:created>
  <dc:creator>1111</dc:creator>
  <cp:lastModifiedBy>瑞雪梨</cp:lastModifiedBy>
  <cp:lastPrinted>2020-11-26T09:49:00Z</cp:lastPrinted>
  <dcterms:modified xsi:type="dcterms:W3CDTF">2023-12-11T08:01:07Z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57682860CFC04C75B53663082E200A21_12</vt:lpwstr>
  </property>
</Properties>
</file>