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attachedToolbars.bin" ContentType="application/vnd.ms-word.attachedToolbars"/>
  <Override PartName="/word/customizations.xml" ContentType="application/vnd.ms-word.keyMapCustomization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val="0"/>
        <w:topLinePunct/>
        <w:adjustRightInd/>
        <w:snapToGrid/>
        <w:spacing w:after="0" w:line="700" w:lineRule="exact"/>
        <w:ind w:left="0" w:leftChars="0" w:firstLine="0" w:firstLineChars="0"/>
        <w:jc w:val="both"/>
        <w:rPr>
          <w:rFonts w:hint="default" w:ascii="Times New Roman" w:hAnsi="Times New Roman" w:eastAsia="宋体" w:cs="Times New Roman"/>
          <w:b w:val="0"/>
          <w:bCs w:val="0"/>
          <w:kern w:val="2"/>
          <w:sz w:val="21"/>
          <w:szCs w:val="32"/>
        </w:rPr>
      </w:pPr>
    </w:p>
    <w:p>
      <w:pPr>
        <w:widowControl w:val="0"/>
        <w:topLinePunct/>
        <w:adjustRightInd/>
        <w:snapToGrid/>
        <w:spacing w:after="0" w:line="400" w:lineRule="exact"/>
        <w:jc w:val="center"/>
        <w:rPr>
          <w:rFonts w:hint="default" w:ascii="Times New Roman" w:hAnsi="Times New Roman" w:eastAsia="宋体" w:cs="Times New Roman"/>
          <w:b w:val="0"/>
          <w:bCs w:val="0"/>
          <w:kern w:val="2"/>
          <w:sz w:val="21"/>
          <w:szCs w:val="32"/>
        </w:rPr>
      </w:pPr>
    </w:p>
    <w:p>
      <w:pPr>
        <w:widowControl w:val="0"/>
        <w:topLinePunct/>
        <w:adjustRightInd/>
        <w:snapToGrid/>
        <w:spacing w:after="0" w:line="400" w:lineRule="exact"/>
        <w:jc w:val="center"/>
        <w:rPr>
          <w:rFonts w:hint="default" w:ascii="Times New Roman" w:hAnsi="Times New Roman" w:eastAsia="宋体" w:cs="Times New Roman"/>
          <w:b w:val="0"/>
          <w:bCs w:val="0"/>
          <w:kern w:val="2"/>
          <w:sz w:val="21"/>
          <w:szCs w:val="32"/>
        </w:rPr>
      </w:pPr>
    </w:p>
    <w:p>
      <w:pPr>
        <w:widowControl w:val="0"/>
        <w:topLinePunct/>
        <w:adjustRightInd/>
        <w:snapToGrid/>
        <w:spacing w:after="0" w:line="400" w:lineRule="exact"/>
        <w:jc w:val="center"/>
        <w:rPr>
          <w:rFonts w:hint="default" w:ascii="Times New Roman" w:hAnsi="Times New Roman" w:eastAsia="宋体" w:cs="Times New Roman"/>
          <w:b w:val="0"/>
          <w:bCs w:val="0"/>
          <w:kern w:val="2"/>
          <w:sz w:val="21"/>
          <w:szCs w:val="32"/>
        </w:rPr>
      </w:pPr>
    </w:p>
    <w:p>
      <w:pPr>
        <w:widowControl w:val="0"/>
        <w:topLinePunct/>
        <w:adjustRightInd/>
        <w:snapToGrid/>
        <w:spacing w:after="0" w:line="400" w:lineRule="exact"/>
        <w:jc w:val="center"/>
        <w:rPr>
          <w:rFonts w:hint="default" w:ascii="Times New Roman" w:hAnsi="Times New Roman" w:eastAsia="宋体" w:cs="Times New Roman"/>
          <w:b w:val="0"/>
          <w:bCs w:val="0"/>
          <w:kern w:val="2"/>
          <w:sz w:val="21"/>
          <w:szCs w:val="32"/>
        </w:rPr>
      </w:pPr>
    </w:p>
    <w:p>
      <w:pPr>
        <w:widowControl w:val="0"/>
        <w:topLinePunct/>
        <w:adjustRightInd/>
        <w:snapToGrid/>
        <w:spacing w:after="0" w:line="400" w:lineRule="exact"/>
        <w:jc w:val="center"/>
        <w:rPr>
          <w:rFonts w:hint="default" w:ascii="Times New Roman" w:hAnsi="Times New Roman" w:eastAsia="宋体" w:cs="Times New Roman"/>
          <w:b w:val="0"/>
          <w:bCs w:val="0"/>
          <w:kern w:val="2"/>
          <w:sz w:val="21"/>
          <w:szCs w:val="32"/>
        </w:rPr>
      </w:pPr>
    </w:p>
    <w:p>
      <w:pPr>
        <w:widowControl w:val="0"/>
        <w:topLinePunct/>
        <w:adjustRightInd/>
        <w:snapToGrid/>
        <w:spacing w:after="0" w:line="400" w:lineRule="exact"/>
        <w:jc w:val="center"/>
        <w:rPr>
          <w:rFonts w:hint="default" w:ascii="Times New Roman" w:hAnsi="Times New Roman" w:eastAsia="宋体" w:cs="Times New Roman"/>
          <w:b w:val="0"/>
          <w:bCs w:val="0"/>
          <w:kern w:val="2"/>
          <w:sz w:val="21"/>
          <w:szCs w:val="32"/>
        </w:rPr>
      </w:pPr>
    </w:p>
    <w:p>
      <w:pPr>
        <w:widowControl w:val="0"/>
        <w:topLinePunct/>
        <w:adjustRightInd/>
        <w:snapToGrid/>
        <w:spacing w:after="0" w:line="400" w:lineRule="exact"/>
        <w:jc w:val="center"/>
        <w:rPr>
          <w:rFonts w:hint="default" w:ascii="Times New Roman" w:hAnsi="Times New Roman" w:eastAsia="宋体" w:cs="Times New Roman"/>
          <w:b w:val="0"/>
          <w:bCs w:val="0"/>
          <w:kern w:val="2"/>
          <w:sz w:val="21"/>
          <w:szCs w:val="32"/>
        </w:rPr>
      </w:pPr>
    </w:p>
    <w:p>
      <w:pPr>
        <w:widowControl w:val="0"/>
        <w:topLinePunct/>
        <w:adjustRightInd/>
        <w:snapToGrid/>
        <w:spacing w:after="0" w:line="400" w:lineRule="exact"/>
        <w:jc w:val="center"/>
        <w:rPr>
          <w:rFonts w:hint="default" w:ascii="Times New Roman" w:hAnsi="Times New Roman" w:eastAsia="宋体" w:cs="Times New Roman"/>
          <w:b w:val="0"/>
          <w:bCs w:val="0"/>
          <w:kern w:val="2"/>
          <w:sz w:val="21"/>
          <w:szCs w:val="32"/>
        </w:rPr>
      </w:pPr>
    </w:p>
    <w:p>
      <w:pPr>
        <w:widowControl w:val="0"/>
        <w:topLinePunct/>
        <w:adjustRightInd/>
        <w:snapToGrid/>
        <w:spacing w:after="0" w:line="400" w:lineRule="exact"/>
        <w:jc w:val="center"/>
        <w:rPr>
          <w:rFonts w:hint="default" w:ascii="Times New Roman" w:hAnsi="Times New Roman" w:eastAsia="宋体" w:cs="Times New Roman"/>
          <w:b w:val="0"/>
          <w:bCs w:val="0"/>
          <w:kern w:val="2"/>
          <w:sz w:val="21"/>
          <w:szCs w:val="32"/>
        </w:rPr>
      </w:pPr>
    </w:p>
    <w:p>
      <w:pPr>
        <w:widowControl w:val="0"/>
        <w:topLinePunct/>
        <w:adjustRightInd/>
        <w:snapToGrid/>
        <w:spacing w:after="0" w:line="400" w:lineRule="exact"/>
        <w:jc w:val="center"/>
        <w:rPr>
          <w:rFonts w:hint="default" w:ascii="Times New Roman" w:hAnsi="Times New Roman" w:eastAsia="微软雅黑" w:cs="Times New Roman"/>
          <w:b w:val="0"/>
          <w:bCs w:val="0"/>
          <w:i w:val="0"/>
          <w:caps w:val="0"/>
          <w:color w:val="333333"/>
          <w:spacing w:val="0"/>
          <w:kern w:val="2"/>
          <w:sz w:val="36"/>
          <w:szCs w:val="36"/>
          <w:shd w:val="clear" w:color="auto" w:fill="FFFFFF"/>
          <w:lang w:eastAsia="zh-CN"/>
        </w:rPr>
      </w:pPr>
      <w:r>
        <w:rPr>
          <w:rFonts w:hint="default" w:ascii="Times New Roman" w:hAnsi="Times New Roman" w:eastAsia="宋体" w:cs="Times New Roman"/>
          <w:b w:val="0"/>
          <w:bCs w:val="0"/>
          <w:kern w:val="2"/>
          <w:sz w:val="21"/>
          <w:szCs w:val="32"/>
        </w:rPr>
        <w:t xml:space="preserve"> </w:t>
      </w:r>
    </w:p>
    <w:p>
      <w:pPr>
        <w:keepNext w:val="0"/>
        <w:keepLines w:val="0"/>
        <w:pageBreakBefore w:val="0"/>
        <w:widowControl w:val="0"/>
        <w:kinsoku/>
        <w:wordWrap/>
        <w:overflowPunct/>
        <w:topLinePunct w:val="0"/>
        <w:autoSpaceDE/>
        <w:autoSpaceDN/>
        <w:bidi w:val="0"/>
        <w:adjustRightInd/>
        <w:snapToGrid/>
        <w:spacing w:line="760" w:lineRule="exact"/>
        <w:ind w:left="0" w:leftChars="0" w:firstLine="0" w:firstLineChars="0"/>
        <w:jc w:val="center"/>
        <w:textAlignment w:val="auto"/>
        <w:rPr>
          <w:rFonts w:hint="default" w:ascii="Times New Roman" w:hAnsi="Times New Roman" w:eastAsia="方正小标宋简体" w:cs="Times New Roman"/>
          <w:sz w:val="44"/>
          <w:szCs w:val="44"/>
        </w:rPr>
      </w:pPr>
      <w:r>
        <w:rPr>
          <w:rFonts w:hint="default" w:ascii="Times New Roman" w:hAnsi="Times New Roman" w:eastAsia="方正小标宋简体" w:cs="Times New Roman"/>
          <w:sz w:val="44"/>
          <w:szCs w:val="44"/>
        </w:rPr>
        <w:t>保德县人民政府办公室</w:t>
      </w:r>
    </w:p>
    <w:p>
      <w:pPr>
        <w:keepNext w:val="0"/>
        <w:keepLines w:val="0"/>
        <w:pageBreakBefore w:val="0"/>
        <w:widowControl w:val="0"/>
        <w:kinsoku/>
        <w:wordWrap/>
        <w:overflowPunct/>
        <w:topLinePunct w:val="0"/>
        <w:autoSpaceDE/>
        <w:autoSpaceDN/>
        <w:bidi w:val="0"/>
        <w:adjustRightInd/>
        <w:snapToGrid/>
        <w:spacing w:line="760" w:lineRule="exact"/>
        <w:ind w:left="0" w:leftChars="0" w:firstLine="0" w:firstLineChars="0"/>
        <w:jc w:val="center"/>
        <w:textAlignment w:val="auto"/>
        <w:rPr>
          <w:rFonts w:hint="default" w:ascii="Times New Roman" w:hAnsi="Times New Roman" w:eastAsia="方正小标宋简体" w:cs="Times New Roman"/>
          <w:sz w:val="44"/>
          <w:szCs w:val="44"/>
        </w:rPr>
      </w:pPr>
      <w:r>
        <w:rPr>
          <w:rFonts w:hint="default" w:ascii="Times New Roman" w:hAnsi="Times New Roman" w:eastAsia="方正小标宋简体" w:cs="Times New Roman"/>
          <w:sz w:val="44"/>
          <w:szCs w:val="44"/>
        </w:rPr>
        <w:t>关于印发保德县农村生活污水治理专项</w:t>
      </w:r>
    </w:p>
    <w:p>
      <w:pPr>
        <w:keepNext w:val="0"/>
        <w:keepLines w:val="0"/>
        <w:pageBreakBefore w:val="0"/>
        <w:widowControl w:val="0"/>
        <w:kinsoku/>
        <w:wordWrap/>
        <w:overflowPunct/>
        <w:topLinePunct w:val="0"/>
        <w:autoSpaceDE/>
        <w:autoSpaceDN/>
        <w:bidi w:val="0"/>
        <w:adjustRightInd/>
        <w:snapToGrid/>
        <w:spacing w:line="760" w:lineRule="exact"/>
        <w:ind w:left="0" w:leftChars="0" w:firstLine="0" w:firstLineChars="0"/>
        <w:jc w:val="center"/>
        <w:textAlignment w:val="auto"/>
        <w:rPr>
          <w:rFonts w:hint="default" w:ascii="Times New Roman" w:hAnsi="Times New Roman" w:eastAsia="方正小标宋简体" w:cs="Times New Roman"/>
          <w:sz w:val="44"/>
          <w:szCs w:val="44"/>
        </w:rPr>
      </w:pPr>
      <w:r>
        <w:rPr>
          <w:rFonts w:hint="default" w:ascii="Times New Roman" w:hAnsi="Times New Roman" w:eastAsia="方正小标宋简体" w:cs="Times New Roman"/>
          <w:sz w:val="44"/>
          <w:szCs w:val="44"/>
        </w:rPr>
        <w:t>规划（2021—2025）的通知</w:t>
      </w:r>
    </w:p>
    <w:p>
      <w:pPr>
        <w:rPr>
          <w:rFonts w:hint="default" w:ascii="Times New Roman" w:hAnsi="Times New Roman" w:cs="Times New Roman"/>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firstLine="0" w:firstLineChars="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各乡（镇）人民政府</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县直各有关单位：</w:t>
      </w:r>
    </w:p>
    <w:p>
      <w:pPr>
        <w:keepNext w:val="0"/>
        <w:keepLines w:val="0"/>
        <w:pageBreakBefore w:val="0"/>
        <w:widowControl w:val="0"/>
        <w:kinsoku/>
        <w:wordWrap/>
        <w:overflowPunct/>
        <w:topLinePunct w:val="0"/>
        <w:autoSpaceDE/>
        <w:autoSpaceDN/>
        <w:bidi w:val="0"/>
        <w:adjustRightInd/>
        <w:snapToGrid/>
        <w:spacing w:line="600" w:lineRule="exact"/>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《保德县农村生活污水治理专项规划》（2021—2025）</w:t>
      </w:r>
      <w:r>
        <w:rPr>
          <w:rFonts w:hint="default" w:ascii="Times New Roman" w:hAnsi="Times New Roman" w:eastAsia="仿宋_GB2312" w:cs="Times New Roman"/>
          <w:sz w:val="32"/>
          <w:szCs w:val="32"/>
          <w:lang w:eastAsia="zh-CN"/>
        </w:rPr>
        <w:t>已</w:t>
      </w:r>
      <w:r>
        <w:rPr>
          <w:rFonts w:hint="default" w:ascii="Times New Roman" w:hAnsi="Times New Roman" w:eastAsia="仿宋_GB2312" w:cs="Times New Roman"/>
          <w:sz w:val="32"/>
          <w:szCs w:val="32"/>
        </w:rPr>
        <w:t>经县政府同意</w:t>
      </w:r>
      <w:r>
        <w:rPr>
          <w:rFonts w:hint="default" w:ascii="Times New Roman" w:hAnsi="Times New Roman" w:eastAsia="仿宋_GB2312" w:cs="Times New Roman"/>
          <w:sz w:val="32"/>
          <w:szCs w:val="32"/>
          <w:lang w:eastAsia="zh-CN"/>
        </w:rPr>
        <w:t>，现</w:t>
      </w:r>
      <w:r>
        <w:rPr>
          <w:rFonts w:hint="default" w:ascii="Times New Roman" w:hAnsi="Times New Roman" w:eastAsia="仿宋_GB2312" w:cs="Times New Roman"/>
          <w:sz w:val="32"/>
          <w:szCs w:val="32"/>
        </w:rPr>
        <w:t>印发给你们，请认真贯彻执行。</w:t>
      </w:r>
    </w:p>
    <w:p>
      <w:pPr>
        <w:keepNext w:val="0"/>
        <w:keepLines w:val="0"/>
        <w:pageBreakBefore w:val="0"/>
        <w:widowControl w:val="0"/>
        <w:kinsoku/>
        <w:wordWrap/>
        <w:overflowPunct/>
        <w:topLinePunct w:val="0"/>
        <w:autoSpaceDE/>
        <w:autoSpaceDN/>
        <w:bidi w:val="0"/>
        <w:adjustRightInd/>
        <w:snapToGrid/>
        <w:spacing w:line="600" w:lineRule="exact"/>
        <w:textAlignment w:val="auto"/>
        <w:rPr>
          <w:rFonts w:hint="default" w:ascii="Times New Roman" w:hAnsi="Times New Roman" w:eastAsia="仿宋_GB2312" w:cs="Times New Roman"/>
          <w:sz w:val="32"/>
          <w:szCs w:val="32"/>
        </w:rPr>
      </w:pPr>
    </w:p>
    <w:p>
      <w:pPr>
        <w:keepNext w:val="0"/>
        <w:keepLines w:val="0"/>
        <w:pageBreakBefore w:val="0"/>
        <w:widowControl w:val="0"/>
        <w:kinsoku/>
        <w:wordWrap/>
        <w:overflowPunct/>
        <w:topLinePunct w:val="0"/>
        <w:autoSpaceDE/>
        <w:autoSpaceDN/>
        <w:bidi w:val="0"/>
        <w:adjustRightInd/>
        <w:snapToGrid/>
        <w:spacing w:line="600" w:lineRule="exact"/>
        <w:textAlignment w:val="auto"/>
        <w:rPr>
          <w:rFonts w:hint="default" w:ascii="Times New Roman" w:hAnsi="Times New Roman" w:eastAsia="仿宋_GB2312" w:cs="Times New Roman"/>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firstLine="4800" w:firstLineChars="15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保德县人民政府办公室</w:t>
      </w:r>
    </w:p>
    <w:p>
      <w:pPr>
        <w:keepNext w:val="0"/>
        <w:keepLines w:val="0"/>
        <w:pageBreakBefore w:val="0"/>
        <w:widowControl w:val="0"/>
        <w:kinsoku/>
        <w:wordWrap/>
        <w:overflowPunct/>
        <w:topLinePunct w:val="0"/>
        <w:autoSpaceDE/>
        <w:autoSpaceDN/>
        <w:bidi w:val="0"/>
        <w:adjustRightInd/>
        <w:snapToGrid/>
        <w:spacing w:line="600" w:lineRule="exact"/>
        <w:ind w:firstLine="5120" w:firstLineChars="16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2021年</w:t>
      </w:r>
      <w:r>
        <w:rPr>
          <w:rFonts w:hint="default" w:ascii="Times New Roman" w:hAnsi="Times New Roman" w:eastAsia="仿宋_GB2312" w:cs="Times New Roman"/>
          <w:sz w:val="32"/>
          <w:szCs w:val="32"/>
          <w:lang w:val="en-US" w:eastAsia="zh-CN"/>
        </w:rPr>
        <w:t>12</w:t>
      </w:r>
      <w:r>
        <w:rPr>
          <w:rFonts w:hint="default" w:ascii="Times New Roman" w:hAnsi="Times New Roman" w:eastAsia="仿宋_GB2312" w:cs="Times New Roman"/>
          <w:sz w:val="32"/>
          <w:szCs w:val="32"/>
        </w:rPr>
        <w:t>月</w:t>
      </w:r>
      <w:r>
        <w:rPr>
          <w:rFonts w:hint="default" w:ascii="Times New Roman" w:hAnsi="Times New Roman" w:eastAsia="仿宋_GB2312" w:cs="Times New Roman"/>
          <w:sz w:val="32"/>
          <w:szCs w:val="32"/>
          <w:lang w:val="en-US" w:eastAsia="zh-CN"/>
        </w:rPr>
        <w:t>16</w:t>
      </w:r>
      <w:r>
        <w:rPr>
          <w:rFonts w:hint="default" w:ascii="Times New Roman" w:hAnsi="Times New Roman" w:eastAsia="仿宋_GB2312" w:cs="Times New Roman"/>
          <w:sz w:val="32"/>
          <w:szCs w:val="32"/>
        </w:rPr>
        <w:t xml:space="preserve">日 </w:t>
      </w:r>
    </w:p>
    <w:p>
      <w:pPr>
        <w:keepNext w:val="0"/>
        <w:keepLines w:val="0"/>
        <w:pageBreakBefore w:val="0"/>
        <w:widowControl w:val="0"/>
        <w:kinsoku/>
        <w:wordWrap/>
        <w:overflowPunct/>
        <w:topLinePunct w:val="0"/>
        <w:autoSpaceDE/>
        <w:autoSpaceDN/>
        <w:bidi w:val="0"/>
        <w:adjustRightInd/>
        <w:snapToGrid/>
        <w:spacing w:line="600" w:lineRule="exact"/>
        <w:ind w:firstLine="4800" w:firstLineChars="1500"/>
        <w:textAlignment w:val="auto"/>
        <w:rPr>
          <w:rFonts w:hint="default" w:ascii="Times New Roman" w:hAnsi="Times New Roman" w:eastAsia="仿宋_GB2312" w:cs="Times New Roman"/>
          <w:sz w:val="32"/>
          <w:szCs w:val="32"/>
        </w:rPr>
      </w:pPr>
    </w:p>
    <w:p>
      <w:pPr>
        <w:pStyle w:val="2"/>
        <w:ind w:left="0" w:leftChars="0" w:firstLine="0" w:firstLineChars="0"/>
        <w:rPr>
          <w:rFonts w:hint="default"/>
        </w:rPr>
      </w:pPr>
    </w:p>
    <w:p>
      <w:pPr>
        <w:bidi w:val="0"/>
        <w:ind w:left="0" w:leftChars="0" w:firstLine="0" w:firstLineChars="0"/>
        <w:rPr>
          <w:rFonts w:hint="default"/>
        </w:rPr>
      </w:pPr>
    </w:p>
    <w:p>
      <w:pPr>
        <w:ind w:left="0" w:leftChars="0" w:firstLine="0" w:firstLineChars="0"/>
        <w:rPr>
          <w:rFonts w:hint="default"/>
        </w:rPr>
      </w:pPr>
      <w:bookmarkStart w:id="62" w:name="_GoBack"/>
      <w:bookmarkEnd w:id="62"/>
    </w:p>
    <w:p>
      <w:pPr>
        <w:pStyle w:val="82"/>
        <w:spacing w:before="120" w:line="480" w:lineRule="exact"/>
        <w:jc w:val="both"/>
        <w:rPr>
          <w:rFonts w:ascii="Times New Roman" w:hAnsi="黑体" w:eastAsia="黑体" w:cs="Times New Roman"/>
          <w:color w:val="auto"/>
          <w:sz w:val="36"/>
          <w:lang w:val="zh-CN"/>
        </w:rPr>
      </w:pPr>
    </w:p>
    <w:p>
      <w:pPr>
        <w:pStyle w:val="82"/>
        <w:spacing w:before="120" w:line="480" w:lineRule="exact"/>
        <w:jc w:val="center"/>
        <w:rPr>
          <w:rFonts w:ascii="Times New Roman" w:hAnsi="Times New Roman" w:eastAsia="黑体" w:cs="Times New Roman"/>
          <w:color w:val="auto"/>
          <w:sz w:val="36"/>
        </w:rPr>
      </w:pPr>
      <w:r>
        <w:rPr>
          <w:rFonts w:ascii="Times New Roman" w:hAnsi="黑体" w:eastAsia="黑体" w:cs="Times New Roman"/>
          <w:color w:val="auto"/>
          <w:sz w:val="36"/>
          <w:lang w:val="zh-CN"/>
        </w:rPr>
        <w:t>目</w:t>
      </w:r>
      <w:r>
        <w:rPr>
          <w:rFonts w:ascii="Times New Roman" w:hAnsi="Times New Roman" w:eastAsia="黑体" w:cs="Times New Roman"/>
          <w:color w:val="auto"/>
          <w:sz w:val="36"/>
          <w:lang w:val="zh-CN"/>
        </w:rPr>
        <w:t xml:space="preserve">  </w:t>
      </w:r>
      <w:r>
        <w:rPr>
          <w:rFonts w:ascii="Times New Roman" w:hAnsi="黑体" w:eastAsia="黑体" w:cs="Times New Roman"/>
          <w:color w:val="auto"/>
          <w:sz w:val="36"/>
          <w:lang w:val="zh-CN"/>
        </w:rPr>
        <w:t>录</w:t>
      </w:r>
    </w:p>
    <w:p>
      <w:pPr>
        <w:pStyle w:val="25"/>
        <w:ind w:leftChars="-22" w:hanging="53" w:hangingChars="12"/>
        <w:rPr>
          <w:rFonts w:asciiTheme="minorHAnsi" w:hAnsiTheme="minorHAnsi" w:eastAsiaTheme="minorEastAsia"/>
          <w:b w:val="0"/>
          <w:sz w:val="21"/>
          <w:szCs w:val="22"/>
        </w:rPr>
      </w:pPr>
      <w:r>
        <w:rPr>
          <w:rFonts w:eastAsia="黑体" w:cs="Times New Roman"/>
          <w:sz w:val="44"/>
          <w:szCs w:val="44"/>
        </w:rPr>
        <w:fldChar w:fldCharType="begin"/>
      </w:r>
      <w:r>
        <w:rPr>
          <w:rFonts w:eastAsia="黑体" w:cs="Times New Roman"/>
          <w:sz w:val="44"/>
          <w:szCs w:val="44"/>
        </w:rPr>
        <w:instrText xml:space="preserve"> TOC \o "1-2" \h \z \u </w:instrText>
      </w:r>
      <w:r>
        <w:rPr>
          <w:rFonts w:eastAsia="黑体" w:cs="Times New Roman"/>
          <w:sz w:val="44"/>
          <w:szCs w:val="44"/>
        </w:rPr>
        <w:fldChar w:fldCharType="separate"/>
      </w:r>
      <w:r>
        <w:fldChar w:fldCharType="begin"/>
      </w:r>
      <w:r>
        <w:instrText xml:space="preserve"> HYPERLINK \l "_Toc43848798" </w:instrText>
      </w:r>
      <w:r>
        <w:fldChar w:fldCharType="separate"/>
      </w:r>
      <w:r>
        <w:rPr>
          <w:rStyle w:val="33"/>
        </w:rPr>
        <w:t xml:space="preserve">1 </w:t>
      </w:r>
      <w:r>
        <w:rPr>
          <w:rStyle w:val="33"/>
          <w:rFonts w:hint="eastAsia"/>
        </w:rPr>
        <w:t>总则</w:t>
      </w:r>
      <w:r>
        <w:tab/>
      </w:r>
      <w:r>
        <w:fldChar w:fldCharType="end"/>
      </w:r>
    </w:p>
    <w:p>
      <w:pPr>
        <w:pStyle w:val="27"/>
        <w:rPr>
          <w:rFonts w:asciiTheme="minorHAnsi" w:hAnsiTheme="minorHAnsi" w:eastAsiaTheme="minorEastAsia"/>
          <w:sz w:val="21"/>
          <w:szCs w:val="22"/>
        </w:rPr>
      </w:pPr>
      <w:r>
        <w:fldChar w:fldCharType="begin"/>
      </w:r>
      <w:r>
        <w:instrText xml:space="preserve"> HYPERLINK \l "_Toc43848799" </w:instrText>
      </w:r>
      <w:r>
        <w:fldChar w:fldCharType="separate"/>
      </w:r>
      <w:r>
        <w:rPr>
          <w:rStyle w:val="33"/>
          <w:rFonts w:cs="Times New Roman"/>
        </w:rPr>
        <w:t>1.1</w:t>
      </w:r>
      <w:r>
        <w:rPr>
          <w:rFonts w:asciiTheme="minorHAnsi" w:hAnsiTheme="minorHAnsi" w:eastAsiaTheme="minorEastAsia"/>
          <w:sz w:val="21"/>
          <w:szCs w:val="22"/>
        </w:rPr>
        <w:tab/>
      </w:r>
      <w:r>
        <w:rPr>
          <w:rStyle w:val="33"/>
          <w:rFonts w:hint="eastAsia" w:cs="Times New Roman"/>
        </w:rPr>
        <w:t>规划背景</w:t>
      </w:r>
      <w:r>
        <w:tab/>
      </w:r>
      <w:r>
        <w:fldChar w:fldCharType="begin"/>
      </w:r>
      <w:r>
        <w:instrText xml:space="preserve"> PAGEREF _Toc43848799 \h </w:instrText>
      </w:r>
      <w:r>
        <w:fldChar w:fldCharType="separate"/>
      </w:r>
      <w:r>
        <w:t>1</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"_Toc43848800" </w:instrText>
      </w:r>
      <w:r>
        <w:fldChar w:fldCharType="separate"/>
      </w:r>
      <w:r>
        <w:rPr>
          <w:rStyle w:val="33"/>
          <w:rFonts w:cs="Times New Roman"/>
        </w:rPr>
        <w:t>1.2</w:t>
      </w:r>
      <w:r>
        <w:rPr>
          <w:rFonts w:asciiTheme="minorHAnsi" w:hAnsiTheme="minorHAnsi" w:eastAsiaTheme="minorEastAsia"/>
          <w:sz w:val="21"/>
          <w:szCs w:val="22"/>
        </w:rPr>
        <w:tab/>
      </w:r>
      <w:r>
        <w:rPr>
          <w:rStyle w:val="33"/>
          <w:rFonts w:hint="eastAsia" w:cs="Times New Roman"/>
        </w:rPr>
        <w:t>编制依据</w:t>
      </w:r>
      <w:r>
        <w:tab/>
      </w:r>
      <w:r>
        <w:fldChar w:fldCharType="begin"/>
      </w:r>
      <w:r>
        <w:instrText xml:space="preserve"> PAGEREF _Toc43848800 \h </w:instrText>
      </w:r>
      <w:r>
        <w:fldChar w:fldCharType="separate"/>
      </w:r>
      <w:r>
        <w:t>1</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"_Toc43848801" </w:instrText>
      </w:r>
      <w:r>
        <w:fldChar w:fldCharType="separate"/>
      </w:r>
      <w:r>
        <w:rPr>
          <w:rStyle w:val="33"/>
          <w:rFonts w:cs="Times New Roman"/>
        </w:rPr>
        <w:t xml:space="preserve">1.3 </w:t>
      </w:r>
      <w:r>
        <w:rPr>
          <w:rStyle w:val="33"/>
          <w:rFonts w:hint="eastAsia" w:cs="Times New Roman"/>
        </w:rPr>
        <w:t>规划原则</w:t>
      </w:r>
      <w:r>
        <w:tab/>
      </w:r>
      <w:r>
        <w:fldChar w:fldCharType="begin"/>
      </w:r>
      <w:r>
        <w:instrText xml:space="preserve"> PAGEREF _Toc43848801 \h </w:instrText>
      </w:r>
      <w:r>
        <w:fldChar w:fldCharType="separate"/>
      </w:r>
      <w:r>
        <w:t>3</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"_Toc43848802" </w:instrText>
      </w:r>
      <w:r>
        <w:fldChar w:fldCharType="separate"/>
      </w:r>
      <w:r>
        <w:rPr>
          <w:rStyle w:val="33"/>
          <w:rFonts w:cs="Times New Roman"/>
        </w:rPr>
        <w:t xml:space="preserve">1.4 </w:t>
      </w:r>
      <w:r>
        <w:rPr>
          <w:rStyle w:val="33"/>
          <w:rFonts w:hint="eastAsia" w:cs="Times New Roman"/>
        </w:rPr>
        <w:t>规划范围</w:t>
      </w:r>
      <w:r>
        <w:tab/>
      </w:r>
      <w:r>
        <w:fldChar w:fldCharType="begin"/>
      </w:r>
      <w:r>
        <w:instrText xml:space="preserve"> PAGEREF _Toc43848802 \h </w:instrText>
      </w:r>
      <w:r>
        <w:fldChar w:fldCharType="separate"/>
      </w:r>
      <w:r>
        <w:t>4</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"_Toc43848803" </w:instrText>
      </w:r>
      <w:r>
        <w:fldChar w:fldCharType="separate"/>
      </w:r>
      <w:r>
        <w:rPr>
          <w:rStyle w:val="33"/>
          <w:rFonts w:cs="Times New Roman"/>
        </w:rPr>
        <w:t xml:space="preserve">1.5 </w:t>
      </w:r>
      <w:r>
        <w:rPr>
          <w:rStyle w:val="33"/>
          <w:rFonts w:hint="eastAsia" w:cs="Times New Roman"/>
        </w:rPr>
        <w:t>规划期限及目标</w:t>
      </w:r>
      <w:r>
        <w:tab/>
      </w:r>
      <w:r>
        <w:fldChar w:fldCharType="begin"/>
      </w:r>
      <w:r>
        <w:instrText xml:space="preserve"> PAGEREF _Toc43848803 \h </w:instrText>
      </w:r>
      <w:r>
        <w:fldChar w:fldCharType="separate"/>
      </w:r>
      <w:r>
        <w:t>5</w:t>
      </w:r>
      <w:r>
        <w:fldChar w:fldCharType="end"/>
      </w:r>
      <w:r>
        <w:fldChar w:fldCharType="end"/>
      </w:r>
    </w:p>
    <w:p>
      <w:pPr>
        <w:pStyle w:val="25"/>
        <w:ind w:firstLine="0" w:firstLineChars="0"/>
        <w:rPr>
          <w:rFonts w:asciiTheme="minorHAnsi" w:hAnsiTheme="minorHAnsi" w:eastAsiaTheme="minorEastAsia"/>
          <w:b w:val="0"/>
          <w:sz w:val="21"/>
          <w:szCs w:val="22"/>
        </w:rPr>
      </w:pPr>
      <w:r>
        <w:fldChar w:fldCharType="begin"/>
      </w:r>
      <w:r>
        <w:instrText xml:space="preserve"> HYPERLINK \l "_Toc43848804" </w:instrText>
      </w:r>
      <w:r>
        <w:fldChar w:fldCharType="separate"/>
      </w:r>
      <w:r>
        <w:rPr>
          <w:rStyle w:val="33"/>
        </w:rPr>
        <w:t xml:space="preserve">2 </w:t>
      </w:r>
      <w:r>
        <w:rPr>
          <w:rStyle w:val="33"/>
          <w:rFonts w:hint="eastAsia"/>
        </w:rPr>
        <w:t>区域概况</w:t>
      </w:r>
      <w:r>
        <w:tab/>
      </w:r>
      <w:r>
        <w:fldChar w:fldCharType="begin"/>
      </w:r>
      <w:r>
        <w:instrText xml:space="preserve"> PAGEREF _Toc43848804 \h </w:instrText>
      </w:r>
      <w:r>
        <w:fldChar w:fldCharType="separate"/>
      </w:r>
      <w:r>
        <w:t>6</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"_Toc43848805" </w:instrText>
      </w:r>
      <w:r>
        <w:fldChar w:fldCharType="separate"/>
      </w:r>
      <w:r>
        <w:rPr>
          <w:rStyle w:val="33"/>
          <w:rFonts w:cs="Times New Roman"/>
        </w:rPr>
        <w:t xml:space="preserve">2.1 </w:t>
      </w:r>
      <w:r>
        <w:rPr>
          <w:rStyle w:val="33"/>
          <w:rFonts w:hint="eastAsia" w:cs="Times New Roman"/>
        </w:rPr>
        <w:t>自然环境</w:t>
      </w:r>
      <w:r>
        <w:tab/>
      </w:r>
      <w:r>
        <w:fldChar w:fldCharType="begin"/>
      </w:r>
      <w:r>
        <w:instrText xml:space="preserve"> PAGEREF _Toc43848805 \h </w:instrText>
      </w:r>
      <w:r>
        <w:fldChar w:fldCharType="separate"/>
      </w:r>
      <w:r>
        <w:t>6</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"_Toc43848806" </w:instrText>
      </w:r>
      <w:r>
        <w:fldChar w:fldCharType="separate"/>
      </w:r>
      <w:r>
        <w:rPr>
          <w:rStyle w:val="33"/>
          <w:rFonts w:cs="Times New Roman"/>
        </w:rPr>
        <w:t xml:space="preserve">2.2 </w:t>
      </w:r>
      <w:r>
        <w:rPr>
          <w:rStyle w:val="33"/>
          <w:rFonts w:hint="eastAsia" w:cs="Times New Roman"/>
        </w:rPr>
        <w:t>社会经济</w:t>
      </w:r>
      <w:r>
        <w:tab/>
      </w:r>
      <w:r>
        <w:fldChar w:fldCharType="begin"/>
      </w:r>
      <w:r>
        <w:instrText xml:space="preserve"> PAGEREF _Toc43848806 \h </w:instrText>
      </w:r>
      <w:r>
        <w:fldChar w:fldCharType="separate"/>
      </w:r>
      <w:r>
        <w:t>11</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"_Toc43848807" </w:instrText>
      </w:r>
      <w:r>
        <w:fldChar w:fldCharType="separate"/>
      </w:r>
      <w:r>
        <w:rPr>
          <w:rStyle w:val="33"/>
          <w:rFonts w:cs="Times New Roman"/>
        </w:rPr>
        <w:t xml:space="preserve">2.3 </w:t>
      </w:r>
      <w:r>
        <w:rPr>
          <w:rStyle w:val="33"/>
          <w:rFonts w:hint="eastAsia" w:cs="Times New Roman"/>
        </w:rPr>
        <w:t>生态环境治理状况</w:t>
      </w:r>
      <w:r>
        <w:tab/>
      </w:r>
      <w:r>
        <w:fldChar w:fldCharType="begin"/>
      </w:r>
      <w:r>
        <w:instrText xml:space="preserve"> PAGEREF _Toc43848807 \h </w:instrText>
      </w:r>
      <w:r>
        <w:fldChar w:fldCharType="separate"/>
      </w:r>
      <w:r>
        <w:t>20</w:t>
      </w:r>
      <w:r>
        <w:fldChar w:fldCharType="end"/>
      </w:r>
      <w:r>
        <w:fldChar w:fldCharType="end"/>
      </w:r>
    </w:p>
    <w:p>
      <w:pPr>
        <w:pStyle w:val="25"/>
        <w:ind w:firstLine="0" w:firstLineChars="0"/>
        <w:rPr>
          <w:rFonts w:asciiTheme="minorHAnsi" w:hAnsiTheme="minorHAnsi" w:eastAsiaTheme="minorEastAsia"/>
          <w:b w:val="0"/>
          <w:sz w:val="21"/>
          <w:szCs w:val="22"/>
        </w:rPr>
      </w:pPr>
      <w:r>
        <w:fldChar w:fldCharType="begin"/>
      </w:r>
      <w:r>
        <w:instrText xml:space="preserve"> HYPERLINK \l "_Toc43848808" </w:instrText>
      </w:r>
      <w:r>
        <w:fldChar w:fldCharType="separate"/>
      </w:r>
      <w:r>
        <w:rPr>
          <w:rStyle w:val="33"/>
        </w:rPr>
        <w:t xml:space="preserve">3 </w:t>
      </w:r>
      <w:r>
        <w:rPr>
          <w:rStyle w:val="33"/>
          <w:rFonts w:hint="eastAsia"/>
        </w:rPr>
        <w:t>污染源分析</w:t>
      </w:r>
      <w:r>
        <w:tab/>
      </w:r>
      <w:r>
        <w:fldChar w:fldCharType="begin"/>
      </w:r>
      <w:r>
        <w:instrText xml:space="preserve"> PAGEREF _Toc43848808 \h </w:instrText>
      </w:r>
      <w:r>
        <w:fldChar w:fldCharType="separate"/>
      </w:r>
      <w:r>
        <w:t>24</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"_Toc43848809" </w:instrText>
      </w:r>
      <w:r>
        <w:fldChar w:fldCharType="separate"/>
      </w:r>
      <w:r>
        <w:rPr>
          <w:rStyle w:val="33"/>
          <w:rFonts w:cs="Times New Roman"/>
        </w:rPr>
        <w:t xml:space="preserve">3.1 </w:t>
      </w:r>
      <w:r>
        <w:rPr>
          <w:rStyle w:val="33"/>
          <w:rFonts w:hint="eastAsia" w:cs="Times New Roman"/>
        </w:rPr>
        <w:t>用水及排水特征</w:t>
      </w:r>
      <w:r>
        <w:tab/>
      </w:r>
      <w:r>
        <w:fldChar w:fldCharType="begin"/>
      </w:r>
      <w:r>
        <w:instrText xml:space="preserve"> PAGEREF _Toc43848809 \h </w:instrText>
      </w:r>
      <w:r>
        <w:fldChar w:fldCharType="separate"/>
      </w:r>
      <w:r>
        <w:t>24</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"_Toc43848810" </w:instrText>
      </w:r>
      <w:r>
        <w:fldChar w:fldCharType="separate"/>
      </w:r>
      <w:r>
        <w:rPr>
          <w:rStyle w:val="33"/>
          <w:rFonts w:cs="Times New Roman"/>
        </w:rPr>
        <w:t xml:space="preserve">3.2 </w:t>
      </w:r>
      <w:r>
        <w:rPr>
          <w:rStyle w:val="33"/>
          <w:rFonts w:hint="eastAsia" w:cs="Times New Roman"/>
        </w:rPr>
        <w:t>污染负荷量预测</w:t>
      </w:r>
      <w:r>
        <w:tab/>
      </w:r>
      <w:r>
        <w:fldChar w:fldCharType="begin"/>
      </w:r>
      <w:r>
        <w:instrText xml:space="preserve"> PAGEREF _Toc43848810 \h </w:instrText>
      </w:r>
      <w:r>
        <w:fldChar w:fldCharType="separate"/>
      </w:r>
      <w:r>
        <w:t>43</w:t>
      </w:r>
      <w:r>
        <w:fldChar w:fldCharType="end"/>
      </w:r>
      <w:r>
        <w:fldChar w:fldCharType="end"/>
      </w:r>
    </w:p>
    <w:p>
      <w:pPr>
        <w:pStyle w:val="25"/>
        <w:ind w:firstLine="0" w:firstLineChars="0"/>
        <w:rPr>
          <w:rFonts w:asciiTheme="minorHAnsi" w:hAnsiTheme="minorHAnsi" w:eastAsiaTheme="minorEastAsia"/>
          <w:b w:val="0"/>
          <w:sz w:val="21"/>
          <w:szCs w:val="22"/>
        </w:rPr>
      </w:pPr>
      <w:r>
        <w:fldChar w:fldCharType="begin"/>
      </w:r>
      <w:r>
        <w:instrText xml:space="preserve"> HYPERLINK \l "_Toc43848811" </w:instrText>
      </w:r>
      <w:r>
        <w:fldChar w:fldCharType="separate"/>
      </w:r>
      <w:r>
        <w:rPr>
          <w:rStyle w:val="33"/>
        </w:rPr>
        <w:t xml:space="preserve">4 </w:t>
      </w:r>
      <w:r>
        <w:rPr>
          <w:rStyle w:val="33"/>
          <w:rFonts w:hint="eastAsia"/>
        </w:rPr>
        <w:t>治理村庄</w:t>
      </w:r>
      <w:r>
        <w:tab/>
      </w:r>
      <w:r>
        <w:fldChar w:fldCharType="begin"/>
      </w:r>
      <w:r>
        <w:instrText xml:space="preserve"> PAGEREF _Toc43848811 \h </w:instrText>
      </w:r>
      <w:r>
        <w:fldChar w:fldCharType="separate"/>
      </w:r>
      <w:r>
        <w:t>48</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"_Toc43848812" </w:instrText>
      </w:r>
      <w:r>
        <w:fldChar w:fldCharType="separate"/>
      </w:r>
      <w:r>
        <w:rPr>
          <w:rStyle w:val="33"/>
          <w:rFonts w:cs="Times New Roman"/>
        </w:rPr>
        <w:t xml:space="preserve">4.1 </w:t>
      </w:r>
      <w:r>
        <w:rPr>
          <w:rStyle w:val="33"/>
          <w:rFonts w:hint="eastAsia" w:cs="Times New Roman"/>
        </w:rPr>
        <w:t>选择原则</w:t>
      </w:r>
      <w:r>
        <w:tab/>
      </w:r>
      <w:r>
        <w:fldChar w:fldCharType="begin"/>
      </w:r>
      <w:r>
        <w:instrText xml:space="preserve"> PAGEREF _Toc43848812 \h </w:instrText>
      </w:r>
      <w:r>
        <w:fldChar w:fldCharType="separate"/>
      </w:r>
      <w:r>
        <w:t>48</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"_Toc43848813" </w:instrText>
      </w:r>
      <w:r>
        <w:fldChar w:fldCharType="separate"/>
      </w:r>
      <w:r>
        <w:rPr>
          <w:rStyle w:val="33"/>
          <w:rFonts w:cs="Times New Roman"/>
        </w:rPr>
        <w:t xml:space="preserve">4.2 </w:t>
      </w:r>
      <w:r>
        <w:rPr>
          <w:rStyle w:val="33"/>
          <w:rFonts w:hint="eastAsia" w:cs="Times New Roman"/>
        </w:rPr>
        <w:t>治理村庄</w:t>
      </w:r>
      <w:r>
        <w:tab/>
      </w:r>
      <w:r>
        <w:fldChar w:fldCharType="begin"/>
      </w:r>
      <w:r>
        <w:instrText xml:space="preserve"> PAGEREF _Toc43848813 \h </w:instrText>
      </w:r>
      <w:r>
        <w:fldChar w:fldCharType="separate"/>
      </w:r>
      <w:r>
        <w:t>50</w:t>
      </w:r>
      <w:r>
        <w:fldChar w:fldCharType="end"/>
      </w:r>
      <w:r>
        <w:fldChar w:fldCharType="end"/>
      </w:r>
    </w:p>
    <w:p>
      <w:pPr>
        <w:pStyle w:val="25"/>
        <w:ind w:firstLine="0" w:firstLineChars="0"/>
        <w:rPr>
          <w:rFonts w:asciiTheme="minorHAnsi" w:hAnsiTheme="minorHAnsi" w:eastAsiaTheme="minorEastAsia"/>
          <w:b w:val="0"/>
          <w:sz w:val="21"/>
          <w:szCs w:val="22"/>
        </w:rPr>
      </w:pPr>
      <w:r>
        <w:fldChar w:fldCharType="begin"/>
      </w:r>
      <w:r>
        <w:instrText xml:space="preserve"> HYPERLINK \l "_Toc43848814" </w:instrText>
      </w:r>
      <w:r>
        <w:fldChar w:fldCharType="separate"/>
      </w:r>
      <w:r>
        <w:rPr>
          <w:rStyle w:val="33"/>
        </w:rPr>
        <w:t xml:space="preserve">5 </w:t>
      </w:r>
      <w:r>
        <w:rPr>
          <w:rStyle w:val="33"/>
          <w:rFonts w:hint="eastAsia"/>
        </w:rPr>
        <w:t>污水治理方案</w:t>
      </w:r>
      <w:r>
        <w:tab/>
      </w:r>
      <w:r>
        <w:fldChar w:fldCharType="begin"/>
      </w:r>
      <w:r>
        <w:instrText xml:space="preserve"> PAGEREF _Toc43848814 \h </w:instrText>
      </w:r>
      <w:r>
        <w:fldChar w:fldCharType="separate"/>
      </w:r>
      <w:r>
        <w:t>55</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"_Toc43848815" </w:instrText>
      </w:r>
      <w:r>
        <w:fldChar w:fldCharType="separate"/>
      </w:r>
      <w:r>
        <w:rPr>
          <w:rStyle w:val="33"/>
          <w:rFonts w:cs="Times New Roman"/>
        </w:rPr>
        <w:t xml:space="preserve">5.1 </w:t>
      </w:r>
      <w:r>
        <w:rPr>
          <w:rStyle w:val="33"/>
          <w:rFonts w:hint="eastAsia" w:cs="Times New Roman"/>
        </w:rPr>
        <w:t>污水处理模式</w:t>
      </w:r>
      <w:r>
        <w:tab/>
      </w:r>
      <w:r>
        <w:fldChar w:fldCharType="begin"/>
      </w:r>
      <w:r>
        <w:instrText xml:space="preserve"> PAGEREF _Toc43848815 \h </w:instrText>
      </w:r>
      <w:r>
        <w:fldChar w:fldCharType="separate"/>
      </w:r>
      <w:r>
        <w:t>55</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"_Toc43848816" </w:instrText>
      </w:r>
      <w:r>
        <w:fldChar w:fldCharType="separate"/>
      </w:r>
      <w:r>
        <w:rPr>
          <w:rStyle w:val="33"/>
          <w:rFonts w:cs="Times New Roman"/>
        </w:rPr>
        <w:t xml:space="preserve">5.2 </w:t>
      </w:r>
      <w:r>
        <w:rPr>
          <w:rStyle w:val="33"/>
          <w:rFonts w:hint="eastAsia" w:cs="Times New Roman"/>
        </w:rPr>
        <w:t>出水排放要求</w:t>
      </w:r>
      <w:r>
        <w:tab/>
      </w:r>
      <w:r>
        <w:fldChar w:fldCharType="begin"/>
      </w:r>
      <w:r>
        <w:instrText xml:space="preserve"> PAGEREF _Toc43848816 \h </w:instrText>
      </w:r>
      <w:r>
        <w:fldChar w:fldCharType="separate"/>
      </w:r>
      <w:r>
        <w:t>59</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"_Toc43848817" </w:instrText>
      </w:r>
      <w:r>
        <w:fldChar w:fldCharType="separate"/>
      </w:r>
      <w:r>
        <w:rPr>
          <w:rStyle w:val="33"/>
          <w:rFonts w:cs="Times New Roman"/>
        </w:rPr>
        <w:t xml:space="preserve">5.3 </w:t>
      </w:r>
      <w:r>
        <w:rPr>
          <w:rStyle w:val="33"/>
          <w:rFonts w:hint="eastAsia" w:cs="Times New Roman"/>
        </w:rPr>
        <w:t>收集系统建设</w:t>
      </w:r>
      <w:r>
        <w:tab/>
      </w:r>
      <w:r>
        <w:fldChar w:fldCharType="begin"/>
      </w:r>
      <w:r>
        <w:instrText xml:space="preserve"> PAGEREF _Toc43848817 \h </w:instrText>
      </w:r>
      <w:r>
        <w:fldChar w:fldCharType="separate"/>
      </w:r>
      <w:r>
        <w:t>63</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"_Toc43848818" </w:instrText>
      </w:r>
      <w:r>
        <w:fldChar w:fldCharType="separate"/>
      </w:r>
      <w:r>
        <w:rPr>
          <w:rStyle w:val="33"/>
          <w:rFonts w:cs="Times New Roman"/>
        </w:rPr>
        <w:t xml:space="preserve">5.4 </w:t>
      </w:r>
      <w:r>
        <w:rPr>
          <w:rStyle w:val="33"/>
          <w:rFonts w:hint="eastAsia" w:cs="Times New Roman"/>
        </w:rPr>
        <w:t>处理技术</w:t>
      </w:r>
      <w:r>
        <w:tab/>
      </w:r>
      <w:r>
        <w:fldChar w:fldCharType="begin"/>
      </w:r>
      <w:r>
        <w:instrText xml:space="preserve"> PAGEREF _Toc43848818 \h </w:instrText>
      </w:r>
      <w:r>
        <w:fldChar w:fldCharType="separate"/>
      </w:r>
      <w:r>
        <w:t>68</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"_Toc43848819" </w:instrText>
      </w:r>
      <w:r>
        <w:fldChar w:fldCharType="separate"/>
      </w:r>
      <w:r>
        <w:rPr>
          <w:rStyle w:val="33"/>
          <w:rFonts w:cs="Times New Roman"/>
        </w:rPr>
        <w:t xml:space="preserve">5.5 </w:t>
      </w:r>
      <w:r>
        <w:rPr>
          <w:rStyle w:val="33"/>
          <w:rFonts w:hint="eastAsia" w:cs="Times New Roman"/>
        </w:rPr>
        <w:t>设施布局</w:t>
      </w:r>
      <w:r>
        <w:tab/>
      </w:r>
      <w:r>
        <w:fldChar w:fldCharType="begin"/>
      </w:r>
      <w:r>
        <w:instrText xml:space="preserve"> PAGEREF _Toc43848819 \h </w:instrText>
      </w:r>
      <w:r>
        <w:fldChar w:fldCharType="separate"/>
      </w:r>
      <w:r>
        <w:t>87</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"_Toc43848820" </w:instrText>
      </w:r>
      <w:r>
        <w:fldChar w:fldCharType="separate"/>
      </w:r>
      <w:r>
        <w:rPr>
          <w:rStyle w:val="33"/>
          <w:rFonts w:cs="Times New Roman"/>
        </w:rPr>
        <w:t xml:space="preserve">5.6 </w:t>
      </w:r>
      <w:r>
        <w:rPr>
          <w:rStyle w:val="33"/>
          <w:rFonts w:hint="eastAsia" w:cs="Times New Roman"/>
        </w:rPr>
        <w:t>固体废物处理处置</w:t>
      </w:r>
      <w:r>
        <w:tab/>
      </w:r>
      <w:r>
        <w:fldChar w:fldCharType="begin"/>
      </w:r>
      <w:r>
        <w:instrText xml:space="preserve"> PAGEREF _Toc43848820 \h </w:instrText>
      </w:r>
      <w:r>
        <w:fldChar w:fldCharType="separate"/>
      </w:r>
      <w:r>
        <w:t>87</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"_Toc43848821" </w:instrText>
      </w:r>
      <w:r>
        <w:fldChar w:fldCharType="separate"/>
      </w:r>
      <w:r>
        <w:rPr>
          <w:rStyle w:val="33"/>
          <w:rFonts w:cs="Times New Roman"/>
        </w:rPr>
        <w:t xml:space="preserve">5.7 </w:t>
      </w:r>
      <w:r>
        <w:rPr>
          <w:rStyle w:val="33"/>
          <w:rFonts w:hint="eastAsia" w:cs="Times New Roman"/>
        </w:rPr>
        <w:t>验收移交</w:t>
      </w:r>
      <w:r>
        <w:tab/>
      </w:r>
      <w:r>
        <w:fldChar w:fldCharType="begin"/>
      </w:r>
      <w:r>
        <w:instrText xml:space="preserve"> PAGEREF _Toc43848821 \h </w:instrText>
      </w:r>
      <w:r>
        <w:fldChar w:fldCharType="separate"/>
      </w:r>
      <w:r>
        <w:t>88</w:t>
      </w:r>
      <w:r>
        <w:fldChar w:fldCharType="end"/>
      </w:r>
      <w:r>
        <w:fldChar w:fldCharType="end"/>
      </w:r>
    </w:p>
    <w:p>
      <w:pPr>
        <w:pStyle w:val="25"/>
        <w:ind w:firstLine="0" w:firstLineChars="0"/>
        <w:rPr>
          <w:rFonts w:asciiTheme="minorHAnsi" w:hAnsiTheme="minorHAnsi" w:eastAsiaTheme="minorEastAsia"/>
          <w:b w:val="0"/>
          <w:sz w:val="21"/>
          <w:szCs w:val="22"/>
        </w:rPr>
      </w:pPr>
      <w:r>
        <w:fldChar w:fldCharType="begin"/>
      </w:r>
      <w:r>
        <w:instrText xml:space="preserve"> HYPERLINK \l "_Toc43848822" </w:instrText>
      </w:r>
      <w:r>
        <w:fldChar w:fldCharType="separate"/>
      </w:r>
      <w:r>
        <w:rPr>
          <w:rStyle w:val="33"/>
        </w:rPr>
        <w:t xml:space="preserve">6 </w:t>
      </w:r>
      <w:r>
        <w:rPr>
          <w:rStyle w:val="33"/>
          <w:rFonts w:hint="eastAsia"/>
        </w:rPr>
        <w:t>处理设施运维管理</w:t>
      </w:r>
      <w:r>
        <w:tab/>
      </w:r>
      <w:r>
        <w:fldChar w:fldCharType="begin"/>
      </w:r>
      <w:r>
        <w:instrText xml:space="preserve"> PAGEREF _Toc43848822 \h </w:instrText>
      </w:r>
      <w:r>
        <w:fldChar w:fldCharType="separate"/>
      </w:r>
      <w:r>
        <w:t>96</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"_Toc43848823" </w:instrText>
      </w:r>
      <w:r>
        <w:fldChar w:fldCharType="separate"/>
      </w:r>
      <w:r>
        <w:rPr>
          <w:rStyle w:val="33"/>
          <w:rFonts w:cs="Times New Roman"/>
        </w:rPr>
        <w:t xml:space="preserve">6.1 </w:t>
      </w:r>
      <w:r>
        <w:rPr>
          <w:rStyle w:val="33"/>
          <w:rFonts w:hint="eastAsia" w:cs="Times New Roman"/>
        </w:rPr>
        <w:t>设施运维管理</w:t>
      </w:r>
      <w:r>
        <w:tab/>
      </w:r>
      <w:r>
        <w:fldChar w:fldCharType="begin"/>
      </w:r>
      <w:r>
        <w:instrText xml:space="preserve"> PAGEREF _Toc43848823 \h </w:instrText>
      </w:r>
      <w:r>
        <w:fldChar w:fldCharType="separate"/>
      </w:r>
      <w:r>
        <w:t>96</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"_Toc43848824" </w:instrText>
      </w:r>
      <w:r>
        <w:fldChar w:fldCharType="separate"/>
      </w:r>
      <w:r>
        <w:rPr>
          <w:rStyle w:val="33"/>
          <w:rFonts w:cs="Times New Roman"/>
        </w:rPr>
        <w:t xml:space="preserve">6.2 </w:t>
      </w:r>
      <w:r>
        <w:rPr>
          <w:rStyle w:val="33"/>
          <w:rFonts w:hint="eastAsia" w:cs="Times New Roman"/>
        </w:rPr>
        <w:t>环境监管</w:t>
      </w:r>
      <w:r>
        <w:tab/>
      </w:r>
      <w:r>
        <w:fldChar w:fldCharType="begin"/>
      </w:r>
      <w:r>
        <w:instrText xml:space="preserve"> PAGEREF _Toc43848824 \h </w:instrText>
      </w:r>
      <w:r>
        <w:fldChar w:fldCharType="separate"/>
      </w:r>
      <w:r>
        <w:t>100</w:t>
      </w:r>
      <w:r>
        <w:fldChar w:fldCharType="end"/>
      </w:r>
      <w:r>
        <w:fldChar w:fldCharType="end"/>
      </w:r>
    </w:p>
    <w:p>
      <w:pPr>
        <w:pStyle w:val="25"/>
        <w:ind w:firstLine="0" w:firstLineChars="0"/>
        <w:rPr>
          <w:rFonts w:asciiTheme="minorHAnsi" w:hAnsiTheme="minorHAnsi" w:eastAsiaTheme="minorEastAsia"/>
          <w:b w:val="0"/>
          <w:sz w:val="21"/>
          <w:szCs w:val="22"/>
        </w:rPr>
      </w:pPr>
      <w:r>
        <w:fldChar w:fldCharType="begin"/>
      </w:r>
      <w:r>
        <w:instrText xml:space="preserve"> HYPERLINK \l "_Toc43848825" </w:instrText>
      </w:r>
      <w:r>
        <w:fldChar w:fldCharType="separate"/>
      </w:r>
      <w:r>
        <w:rPr>
          <w:rStyle w:val="33"/>
        </w:rPr>
        <w:t xml:space="preserve">7 </w:t>
      </w:r>
      <w:r>
        <w:rPr>
          <w:rStyle w:val="33"/>
          <w:rFonts w:hint="eastAsia"/>
        </w:rPr>
        <w:t>治理进程</w:t>
      </w:r>
      <w:r>
        <w:tab/>
      </w:r>
      <w:r>
        <w:fldChar w:fldCharType="begin"/>
      </w:r>
      <w:r>
        <w:instrText xml:space="preserve"> PAGEREF _Toc43848825 \h </w:instrText>
      </w:r>
      <w:r>
        <w:fldChar w:fldCharType="separate"/>
      </w:r>
      <w:r>
        <w:t>101</w:t>
      </w:r>
      <w:r>
        <w:fldChar w:fldCharType="end"/>
      </w:r>
      <w:r>
        <w:fldChar w:fldCharType="end"/>
      </w:r>
    </w:p>
    <w:p>
      <w:pPr>
        <w:pStyle w:val="25"/>
        <w:ind w:firstLine="0" w:firstLineChars="0"/>
        <w:rPr>
          <w:rFonts w:asciiTheme="minorHAnsi" w:hAnsiTheme="minorHAnsi" w:eastAsiaTheme="minorEastAsia"/>
          <w:b w:val="0"/>
          <w:sz w:val="21"/>
          <w:szCs w:val="22"/>
        </w:rPr>
      </w:pPr>
      <w:r>
        <w:fldChar w:fldCharType="begin"/>
      </w:r>
      <w:r>
        <w:instrText xml:space="preserve"> HYPERLINK \l "_Toc43848826" </w:instrText>
      </w:r>
      <w:r>
        <w:fldChar w:fldCharType="separate"/>
      </w:r>
      <w:r>
        <w:rPr>
          <w:rStyle w:val="33"/>
        </w:rPr>
        <w:t xml:space="preserve">8 </w:t>
      </w:r>
      <w:r>
        <w:rPr>
          <w:rStyle w:val="33"/>
          <w:rFonts w:hint="eastAsia"/>
        </w:rPr>
        <w:t>工程估算与资金筹措</w:t>
      </w:r>
      <w:r>
        <w:tab/>
      </w:r>
      <w:r>
        <w:fldChar w:fldCharType="begin"/>
      </w:r>
      <w:r>
        <w:instrText xml:space="preserve"> PAGEREF _Toc43848826 \h </w:instrText>
      </w:r>
      <w:r>
        <w:fldChar w:fldCharType="separate"/>
      </w:r>
      <w:r>
        <w:t>102</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"_Toc43848827" </w:instrText>
      </w:r>
      <w:r>
        <w:fldChar w:fldCharType="separate"/>
      </w:r>
      <w:r>
        <w:rPr>
          <w:rStyle w:val="33"/>
          <w:rFonts w:cs="Times New Roman"/>
        </w:rPr>
        <w:t xml:space="preserve">8.1 </w:t>
      </w:r>
      <w:r>
        <w:rPr>
          <w:rStyle w:val="33"/>
          <w:rFonts w:hint="eastAsia" w:cs="Times New Roman"/>
        </w:rPr>
        <w:t>投资估算</w:t>
      </w:r>
      <w:r>
        <w:tab/>
      </w:r>
      <w:r>
        <w:fldChar w:fldCharType="begin"/>
      </w:r>
      <w:r>
        <w:instrText xml:space="preserve"> PAGEREF _Toc43848827 \h </w:instrText>
      </w:r>
      <w:r>
        <w:fldChar w:fldCharType="separate"/>
      </w:r>
      <w:r>
        <w:t>102</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"_Toc43848828" </w:instrText>
      </w:r>
      <w:r>
        <w:fldChar w:fldCharType="separate"/>
      </w:r>
      <w:r>
        <w:rPr>
          <w:rStyle w:val="33"/>
          <w:rFonts w:cs="Times New Roman"/>
        </w:rPr>
        <w:t xml:space="preserve">8.2 </w:t>
      </w:r>
      <w:r>
        <w:rPr>
          <w:rStyle w:val="33"/>
          <w:rFonts w:hint="eastAsia" w:cs="Times New Roman"/>
        </w:rPr>
        <w:t>资金筹措</w:t>
      </w:r>
      <w:r>
        <w:tab/>
      </w:r>
      <w:r>
        <w:fldChar w:fldCharType="begin"/>
      </w:r>
      <w:r>
        <w:instrText xml:space="preserve"> PAGEREF _Toc43848828 \h </w:instrText>
      </w:r>
      <w:r>
        <w:fldChar w:fldCharType="separate"/>
      </w:r>
      <w:r>
        <w:t>104</w:t>
      </w:r>
      <w:r>
        <w:fldChar w:fldCharType="end"/>
      </w:r>
      <w:r>
        <w:fldChar w:fldCharType="end"/>
      </w:r>
    </w:p>
    <w:p>
      <w:pPr>
        <w:pStyle w:val="25"/>
        <w:ind w:firstLine="0" w:firstLineChars="0"/>
        <w:rPr>
          <w:rFonts w:asciiTheme="minorHAnsi" w:hAnsiTheme="minorHAnsi" w:eastAsiaTheme="minorEastAsia"/>
          <w:b w:val="0"/>
          <w:sz w:val="21"/>
          <w:szCs w:val="22"/>
        </w:rPr>
      </w:pPr>
      <w:r>
        <w:fldChar w:fldCharType="begin"/>
      </w:r>
      <w:r>
        <w:instrText xml:space="preserve"> HYPERLINK \l "_Toc43848829" </w:instrText>
      </w:r>
      <w:r>
        <w:fldChar w:fldCharType="separate"/>
      </w:r>
      <w:r>
        <w:rPr>
          <w:rStyle w:val="33"/>
        </w:rPr>
        <w:t xml:space="preserve">9 </w:t>
      </w:r>
      <w:r>
        <w:rPr>
          <w:rStyle w:val="33"/>
          <w:rFonts w:hint="eastAsia"/>
        </w:rPr>
        <w:t>效益分析</w:t>
      </w:r>
      <w:r>
        <w:tab/>
      </w:r>
      <w:r>
        <w:fldChar w:fldCharType="begin"/>
      </w:r>
      <w:r>
        <w:instrText xml:space="preserve"> PAGEREF _Toc43848829 \h </w:instrText>
      </w:r>
      <w:r>
        <w:fldChar w:fldCharType="separate"/>
      </w:r>
      <w:r>
        <w:t>105</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"_Toc43848830" </w:instrText>
      </w:r>
      <w:r>
        <w:fldChar w:fldCharType="separate"/>
      </w:r>
      <w:r>
        <w:rPr>
          <w:rStyle w:val="33"/>
          <w:rFonts w:cs="Times New Roman"/>
        </w:rPr>
        <w:t xml:space="preserve">9.1 </w:t>
      </w:r>
      <w:r>
        <w:rPr>
          <w:rStyle w:val="33"/>
          <w:rFonts w:hint="eastAsia" w:cs="Times New Roman"/>
        </w:rPr>
        <w:t>环境效益</w:t>
      </w:r>
      <w:r>
        <w:tab/>
      </w:r>
      <w:r>
        <w:fldChar w:fldCharType="begin"/>
      </w:r>
      <w:r>
        <w:instrText xml:space="preserve"> PAGEREF _Toc43848830 \h </w:instrText>
      </w:r>
      <w:r>
        <w:fldChar w:fldCharType="separate"/>
      </w:r>
      <w:r>
        <w:t>105</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"_Toc43848831" </w:instrText>
      </w:r>
      <w:r>
        <w:fldChar w:fldCharType="separate"/>
      </w:r>
      <w:r>
        <w:rPr>
          <w:rStyle w:val="33"/>
          <w:rFonts w:cs="Times New Roman"/>
        </w:rPr>
        <w:t xml:space="preserve">9.2 </w:t>
      </w:r>
      <w:r>
        <w:rPr>
          <w:rStyle w:val="33"/>
          <w:rFonts w:hint="eastAsia" w:cs="Times New Roman"/>
        </w:rPr>
        <w:t>社会效益</w:t>
      </w:r>
      <w:r>
        <w:tab/>
      </w:r>
      <w:r>
        <w:fldChar w:fldCharType="begin"/>
      </w:r>
      <w:r>
        <w:instrText xml:space="preserve"> PAGEREF _Toc43848831 \h </w:instrText>
      </w:r>
      <w:r>
        <w:fldChar w:fldCharType="separate"/>
      </w:r>
      <w:r>
        <w:t>105</w:t>
      </w:r>
      <w:r>
        <w:fldChar w:fldCharType="end"/>
      </w:r>
      <w:r>
        <w:fldChar w:fldCharType="end"/>
      </w:r>
    </w:p>
    <w:p>
      <w:pPr>
        <w:pStyle w:val="27"/>
        <w:rPr>
          <w:rFonts w:asciiTheme="minorHAnsi" w:hAnsiTheme="minorHAnsi" w:eastAsiaTheme="minorEastAsia"/>
          <w:sz w:val="21"/>
          <w:szCs w:val="22"/>
        </w:rPr>
      </w:pPr>
      <w:r>
        <w:fldChar w:fldCharType="begin"/>
      </w:r>
      <w:r>
        <w:instrText xml:space="preserve"> HYPERLINK \l "_Toc43848832" </w:instrText>
      </w:r>
      <w:r>
        <w:fldChar w:fldCharType="separate"/>
      </w:r>
      <w:r>
        <w:rPr>
          <w:rStyle w:val="33"/>
          <w:rFonts w:cs="Times New Roman"/>
        </w:rPr>
        <w:t xml:space="preserve">9.3 </w:t>
      </w:r>
      <w:r>
        <w:rPr>
          <w:rStyle w:val="33"/>
          <w:rFonts w:hint="eastAsia" w:cs="Times New Roman"/>
        </w:rPr>
        <w:t>经济效益</w:t>
      </w:r>
      <w:r>
        <w:tab/>
      </w:r>
      <w:r>
        <w:fldChar w:fldCharType="begin"/>
      </w:r>
      <w:r>
        <w:instrText xml:space="preserve"> PAGEREF _Toc43848832 \h </w:instrText>
      </w:r>
      <w:r>
        <w:fldChar w:fldCharType="separate"/>
      </w:r>
      <w:r>
        <w:t>105</w:t>
      </w:r>
      <w:r>
        <w:fldChar w:fldCharType="end"/>
      </w:r>
      <w:r>
        <w:fldChar w:fldCharType="end"/>
      </w:r>
    </w:p>
    <w:p>
      <w:pPr>
        <w:pStyle w:val="25"/>
        <w:ind w:firstLine="0" w:firstLineChars="0"/>
        <w:rPr>
          <w:rFonts w:asciiTheme="minorHAnsi" w:hAnsiTheme="minorHAnsi" w:eastAsiaTheme="minorEastAsia"/>
          <w:b w:val="0"/>
          <w:sz w:val="21"/>
          <w:szCs w:val="22"/>
        </w:rPr>
      </w:pPr>
      <w:r>
        <w:fldChar w:fldCharType="begin"/>
      </w:r>
      <w:r>
        <w:instrText xml:space="preserve"> HYPERLINK \l "_Toc43848833" </w:instrText>
      </w:r>
      <w:r>
        <w:fldChar w:fldCharType="separate"/>
      </w:r>
      <w:r>
        <w:rPr>
          <w:rStyle w:val="33"/>
        </w:rPr>
        <w:t xml:space="preserve">10 </w:t>
      </w:r>
      <w:r>
        <w:rPr>
          <w:rStyle w:val="33"/>
          <w:rFonts w:hint="eastAsia"/>
        </w:rPr>
        <w:t>保障措施</w:t>
      </w:r>
      <w:r>
        <w:tab/>
      </w:r>
      <w:r>
        <w:fldChar w:fldCharType="begin"/>
      </w:r>
      <w:r>
        <w:instrText xml:space="preserve"> PAGEREF _Toc43848833 \h </w:instrText>
      </w:r>
      <w:r>
        <w:fldChar w:fldCharType="separate"/>
      </w:r>
      <w:r>
        <w:t>106</w:t>
      </w:r>
      <w:r>
        <w:fldChar w:fldCharType="end"/>
      </w:r>
      <w:r>
        <w:fldChar w:fldCharType="end"/>
      </w:r>
    </w:p>
    <w:p>
      <w:pPr>
        <w:pStyle w:val="27"/>
        <w:rPr>
          <w:rFonts w:asciiTheme="minorHAnsi" w:hAnsiTheme="minorHAnsi" w:eastAsiaTheme="minorEastAsia"/>
          <w:sz w:val="21"/>
          <w:szCs w:val="22"/>
        </w:rPr>
      </w:pPr>
    </w:p>
    <w:p>
      <w:pPr>
        <w:pStyle w:val="25"/>
        <w:ind w:firstLine="0" w:firstLineChars="0"/>
        <w:rPr>
          <w:rFonts w:asciiTheme="minorHAnsi" w:hAnsiTheme="minorHAnsi" w:eastAsiaTheme="minorEastAsia"/>
          <w:b w:val="0"/>
          <w:sz w:val="21"/>
          <w:szCs w:val="22"/>
        </w:rPr>
      </w:pPr>
    </w:p>
    <w:p>
      <w:pPr>
        <w:pStyle w:val="25"/>
        <w:ind w:firstLine="0" w:firstLineChars="0"/>
        <w:rPr>
          <w:rFonts w:asciiTheme="minorHAnsi" w:hAnsiTheme="minorHAnsi" w:eastAsiaTheme="minorEastAsia"/>
          <w:sz w:val="21"/>
          <w:szCs w:val="22"/>
        </w:rPr>
      </w:pPr>
    </w:p>
    <w:p>
      <w:pPr>
        <w:pStyle w:val="25"/>
        <w:ind w:firstLine="0" w:firstLineChars="0"/>
        <w:rPr>
          <w:rFonts w:asciiTheme="minorHAnsi" w:hAnsiTheme="minorHAnsi" w:eastAsiaTheme="minorEastAsia"/>
          <w:b w:val="0"/>
          <w:sz w:val="21"/>
          <w:szCs w:val="22"/>
        </w:rPr>
      </w:pPr>
    </w:p>
    <w:p>
      <w:pPr>
        <w:spacing w:line="800" w:lineRule="exact"/>
        <w:ind w:firstLine="0" w:firstLineChars="0"/>
        <w:jc w:val="center"/>
        <w:rPr>
          <w:rFonts w:eastAsia="黑体" w:cs="Times New Roman"/>
          <w:b/>
          <w:sz w:val="44"/>
          <w:szCs w:val="44"/>
        </w:rPr>
      </w:pPr>
      <w:r>
        <w:rPr>
          <w:rFonts w:eastAsia="黑体" w:cs="Times New Roman"/>
          <w:sz w:val="44"/>
          <w:szCs w:val="44"/>
        </w:rPr>
        <w:fldChar w:fldCharType="end"/>
      </w:r>
    </w:p>
    <w:p>
      <w:pPr>
        <w:spacing w:line="800" w:lineRule="exact"/>
        <w:ind w:firstLine="0" w:firstLineChars="0"/>
        <w:jc w:val="center"/>
        <w:rPr>
          <w:rFonts w:eastAsia="黑体" w:cs="Times New Roman"/>
          <w:b/>
          <w:sz w:val="44"/>
          <w:szCs w:val="44"/>
        </w:rPr>
        <w:sectPr>
          <w:headerReference r:id="rId5" w:type="default"/>
          <w:footerReference r:id="rId6" w:type="default"/>
          <w:pgSz w:w="11906" w:h="16838"/>
          <w:pgMar w:top="1361" w:right="1531" w:bottom="1361" w:left="1531" w:header="851" w:footer="992" w:gutter="0"/>
          <w:pgNumType w:fmt="upperRoman" w:start="1"/>
          <w:cols w:space="425" w:num="1"/>
          <w:docGrid w:type="lines" w:linePitch="312" w:charSpace="0"/>
        </w:sectPr>
      </w:pPr>
    </w:p>
    <w:p>
      <w:pPr>
        <w:pStyle w:val="5"/>
      </w:pPr>
      <w:bookmarkStart w:id="0" w:name="_Toc5808"/>
      <w:bookmarkStart w:id="1" w:name="_Toc43848798"/>
      <w:r>
        <w:t>1 总则</w:t>
      </w:r>
      <w:bookmarkEnd w:id="0"/>
      <w:bookmarkEnd w:id="1"/>
    </w:p>
    <w:p>
      <w:pPr>
        <w:pStyle w:val="7"/>
        <w:numPr>
          <w:ilvl w:val="1"/>
          <w:numId w:val="5"/>
        </w:numPr>
        <w:rPr>
          <w:rFonts w:ascii="Times New Roman" w:hAnsi="Times New Roman" w:cs="Times New Roman"/>
        </w:rPr>
      </w:pPr>
      <w:bookmarkStart w:id="2" w:name="_Toc43848799"/>
      <w:r>
        <w:rPr>
          <w:rFonts w:ascii="Times New Roman" w:cs="Times New Roman"/>
        </w:rPr>
        <w:t>规划背景</w:t>
      </w:r>
      <w:bookmarkEnd w:id="2"/>
    </w:p>
    <w:p>
      <w:pPr>
        <w:ind w:firstLine="480"/>
        <w:rPr>
          <w:rFonts w:cs="Times New Roman"/>
        </w:rPr>
      </w:pPr>
      <w:r>
        <w:rPr>
          <w:rFonts w:cs="Times New Roman"/>
        </w:rPr>
        <w:t>2019年3月19日，生态环境部办公厅下发了《关于进一步加强农业农村生态环境工作的指导意见》（环办土壤〔2019〕75号），指出要加大农村生活污水治理力度，依照因地制宜、分类指导、经济适用、易于维护的原则，2020年6月底前编制完成农村生活污水治理专项规划（方案），实现农村生活污水处理统一规划、统一建设、统一运行、统一管理。2019年4月29日，山西省生态环境厅下发了《关于进一步加强农业农村生态环境工作的实施意见》（晋环土壤〔2019〕75号），为加大农村生活污水治理力度，要求2020年6月底前完成农村生活污水治理专项规划（方案）编制工作。农村生活污水治理专项规划编制工作时间紧，任务重、要求高，必须加快推进山西省各市、县农村生活污水治理，以高标准、更大力度解决农村环境污染问题，推进乡村振兴战略，建设美丽宜居乡村。为圆满完成工作任务目标，解决农村污水环境问题，改善农村人居环境，保德县生态环境局委托</w:t>
      </w:r>
      <w:r>
        <w:rPr>
          <w:rFonts w:hint="eastAsia" w:cs="Times New Roman"/>
          <w:lang w:eastAsia="zh-CN"/>
        </w:rPr>
        <w:t>山西华领生态环境科技有限公司</w:t>
      </w:r>
      <w:r>
        <w:rPr>
          <w:rFonts w:cs="Times New Roman"/>
        </w:rPr>
        <w:t>编制保德县农村生活污水治理专项规划。接受委托后，</w:t>
      </w:r>
      <w:r>
        <w:rPr>
          <w:rFonts w:hint="eastAsia" w:cs="Times New Roman"/>
          <w:lang w:eastAsia="zh-CN"/>
        </w:rPr>
        <w:t>山西华领生态环境科技有限公司</w:t>
      </w:r>
      <w:r>
        <w:rPr>
          <w:rFonts w:cs="Times New Roman"/>
        </w:rPr>
        <w:t>组织技术人员成立课题组，赴保德县农村进行实地考察，依据相关法律规范、相关规划，编制了本规划。</w:t>
      </w:r>
    </w:p>
    <w:p>
      <w:pPr>
        <w:pStyle w:val="7"/>
        <w:numPr>
          <w:ilvl w:val="1"/>
          <w:numId w:val="5"/>
        </w:numPr>
        <w:rPr>
          <w:rFonts w:ascii="Times New Roman" w:hAnsi="Times New Roman" w:cs="Times New Roman"/>
        </w:rPr>
      </w:pPr>
      <w:bookmarkStart w:id="3" w:name="_Toc43848800"/>
      <w:r>
        <w:rPr>
          <w:rFonts w:ascii="Times New Roman" w:cs="Times New Roman"/>
        </w:rPr>
        <w:t>编制依据</w:t>
      </w:r>
      <w:bookmarkEnd w:id="3"/>
    </w:p>
    <w:p>
      <w:pPr>
        <w:ind w:firstLine="482"/>
        <w:rPr>
          <w:rFonts w:cs="Times New Roman"/>
          <w:b/>
        </w:rPr>
      </w:pPr>
      <w:r>
        <w:rPr>
          <w:rFonts w:cs="Times New Roman"/>
          <w:b/>
        </w:rPr>
        <w:t>1、法律法规</w:t>
      </w:r>
    </w:p>
    <w:p>
      <w:pPr>
        <w:ind w:firstLine="480"/>
        <w:rPr>
          <w:rFonts w:cs="Times New Roman"/>
        </w:rPr>
      </w:pPr>
      <w:bookmarkStart w:id="4" w:name="_Toc152363104"/>
      <w:bookmarkStart w:id="5" w:name="_Toc134180218"/>
      <w:bookmarkStart w:id="6" w:name="_Toc154398011"/>
      <w:bookmarkStart w:id="7" w:name="_Toc119120491"/>
      <w:bookmarkStart w:id="8" w:name="_Toc119409290"/>
      <w:bookmarkStart w:id="9" w:name="_Toc152362537"/>
      <w:bookmarkStart w:id="10" w:name="_Toc152413501"/>
      <w:bookmarkStart w:id="11" w:name="_Toc142799914"/>
      <w:bookmarkStart w:id="12" w:name="_Toc166332995"/>
      <w:bookmarkStart w:id="13" w:name="_Toc151963013"/>
      <w:bookmarkStart w:id="14" w:name="_Toc154308899"/>
      <w:bookmarkStart w:id="15" w:name="_Toc152525873"/>
      <w:r>
        <w:rPr>
          <w:rFonts w:cs="Times New Roman"/>
        </w:rPr>
        <w:t>（1）《中华人民共和国城乡规划法》（2008.1.1）；</w:t>
      </w:r>
    </w:p>
    <w:p>
      <w:pPr>
        <w:ind w:firstLine="480"/>
        <w:rPr>
          <w:rFonts w:cs="Times New Roman"/>
        </w:rPr>
      </w:pPr>
      <w:r>
        <w:rPr>
          <w:rFonts w:cs="Times New Roman"/>
        </w:rPr>
        <w:t>（2）《中华人民共和国环境保护法》（2015.1.1）；</w:t>
      </w:r>
    </w:p>
    <w:p>
      <w:pPr>
        <w:ind w:firstLine="480"/>
        <w:rPr>
          <w:rFonts w:cs="Times New Roman"/>
        </w:rPr>
      </w:pPr>
      <w:r>
        <w:rPr>
          <w:rFonts w:cs="Times New Roman"/>
        </w:rPr>
        <w:t>（3）《中华人民共和国水法》（2016.9.1）；</w:t>
      </w:r>
    </w:p>
    <w:p>
      <w:pPr>
        <w:ind w:firstLine="480"/>
        <w:rPr>
          <w:rFonts w:cs="Times New Roman"/>
        </w:rPr>
      </w:pPr>
      <w:r>
        <w:rPr>
          <w:rFonts w:cs="Times New Roman"/>
        </w:rPr>
        <w:t>（4）《中华人民共和国水污染防治法》（2018.1.1）。</w:t>
      </w:r>
    </w:p>
    <w:p>
      <w:pPr>
        <w:ind w:firstLine="482"/>
        <w:rPr>
          <w:rFonts w:cs="Times New Roman"/>
          <w:b/>
        </w:rPr>
      </w:pPr>
      <w:r>
        <w:rPr>
          <w:rFonts w:cs="Times New Roman"/>
          <w:b/>
        </w:rPr>
        <w:t>2、政策文件</w:t>
      </w:r>
    </w:p>
    <w:p>
      <w:pPr>
        <w:ind w:firstLine="480"/>
        <w:rPr>
          <w:rFonts w:cs="Times New Roman"/>
        </w:rPr>
      </w:pPr>
      <w:r>
        <w:rPr>
          <w:rFonts w:cs="Times New Roman"/>
        </w:rPr>
        <w:t>（1）《农村生活污水处理项目建设与投资指南》（环发〔2013〕130号）；</w:t>
      </w:r>
    </w:p>
    <w:p>
      <w:pPr>
        <w:ind w:firstLine="480"/>
        <w:rPr>
          <w:rFonts w:cs="Times New Roman"/>
        </w:rPr>
      </w:pPr>
      <w:r>
        <w:rPr>
          <w:rFonts w:cs="Times New Roman"/>
        </w:rPr>
        <w:t>（2）《关于实施乡村振兴战略的意见》（中发〔2018〕1号）；</w:t>
      </w:r>
    </w:p>
    <w:p>
      <w:pPr>
        <w:ind w:firstLine="480"/>
        <w:rPr>
          <w:rFonts w:cs="Times New Roman"/>
        </w:rPr>
      </w:pPr>
      <w:r>
        <w:rPr>
          <w:rFonts w:cs="Times New Roman"/>
        </w:rPr>
        <w:t>（3）《农村人居环境整治三年行动方案》（中办发〔2018〕5号）；</w:t>
      </w:r>
    </w:p>
    <w:p>
      <w:pPr>
        <w:ind w:firstLine="480"/>
        <w:rPr>
          <w:rFonts w:cs="Times New Roman"/>
        </w:rPr>
      </w:pPr>
      <w:r>
        <w:rPr>
          <w:rFonts w:cs="Times New Roman"/>
        </w:rPr>
        <w:t>（4）《关于印发农业农村污染治理攻坚战行动计划的通知》（环土壤〔2018〕143号）；</w:t>
      </w:r>
    </w:p>
    <w:p>
      <w:pPr>
        <w:ind w:firstLine="480"/>
        <w:rPr>
          <w:rFonts w:cs="Times New Roman"/>
        </w:rPr>
      </w:pPr>
      <w:r>
        <w:rPr>
          <w:rFonts w:cs="Times New Roman"/>
        </w:rPr>
        <w:t>（5）《关于推进乡村振兴战略的实施意见》（晋发〔2018〕1号）；</w:t>
      </w:r>
    </w:p>
    <w:p>
      <w:pPr>
        <w:ind w:firstLine="480"/>
        <w:rPr>
          <w:rFonts w:cs="Times New Roman"/>
        </w:rPr>
      </w:pPr>
      <w:r>
        <w:rPr>
          <w:rFonts w:cs="Times New Roman"/>
        </w:rPr>
        <w:t>（6）《山西省农村人居环境整治三年行动实施方案》（晋办发〔2018〕号）；</w:t>
      </w:r>
    </w:p>
    <w:p>
      <w:pPr>
        <w:ind w:firstLine="480"/>
        <w:rPr>
          <w:rFonts w:cs="Times New Roman"/>
        </w:rPr>
      </w:pPr>
      <w:r>
        <w:rPr>
          <w:rFonts w:cs="Times New Roman"/>
        </w:rPr>
        <w:t>（7）《关于山西省乡村振兴战略生态宜居专项规划（2018-2022年）的通知》（晋乡村振兴〔2018〕2号）；</w:t>
      </w:r>
    </w:p>
    <w:p>
      <w:pPr>
        <w:ind w:firstLine="480"/>
        <w:rPr>
          <w:rFonts w:cs="Times New Roman"/>
        </w:rPr>
      </w:pPr>
      <w:r>
        <w:rPr>
          <w:rFonts w:cs="Times New Roman"/>
        </w:rPr>
        <w:t>（8）《中共中央国务院关于坚持农业农村优先发展做好“三农”工作的若干意见》（中发〔2019〕1号）；</w:t>
      </w:r>
    </w:p>
    <w:p>
      <w:pPr>
        <w:ind w:firstLine="480"/>
        <w:rPr>
          <w:rFonts w:cs="Times New Roman"/>
        </w:rPr>
      </w:pPr>
      <w:r>
        <w:rPr>
          <w:rFonts w:cs="Times New Roman"/>
        </w:rPr>
        <w:t>（9）《关于开展农村生活污水治理工作的通知》（晋环土壤〔2019〕20号）；</w:t>
      </w:r>
    </w:p>
    <w:p>
      <w:pPr>
        <w:ind w:firstLine="480"/>
        <w:rPr>
          <w:rFonts w:cs="Times New Roman"/>
        </w:rPr>
      </w:pPr>
      <w:r>
        <w:rPr>
          <w:rFonts w:cs="Times New Roman"/>
        </w:rPr>
        <w:t>（10）《关于进一步加强农业农村生态环境工作的指导意见》（环办土壤〔2019〕75号）</w:t>
      </w:r>
    </w:p>
    <w:p>
      <w:pPr>
        <w:ind w:firstLine="480"/>
        <w:rPr>
          <w:rFonts w:cs="Times New Roman"/>
          <w:color w:val="000000" w:themeColor="text1"/>
          <w14:textFill>
            <w14:solidFill>
              <w14:schemeClr w14:val="tx1"/>
            </w14:solidFill>
          </w14:textFill>
        </w:rPr>
      </w:pPr>
      <w:r>
        <w:rPr>
          <w:rFonts w:cs="Times New Roman"/>
        </w:rPr>
        <w:t>（11）《关于进一步加强农业农村生态环境工作的实施意见》（晋环土壤〔2019〕75号）；</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（12）《忻州市生态环境局关于忻州市农村污水排放及治理情况的调查报告》（忻环（2019) 78号）；</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（13）《保德县县域建制镇生活污水处理设施建设专项规划（2020—2025）》；</w:t>
      </w:r>
    </w:p>
    <w:p>
      <w:pPr>
        <w:ind w:firstLine="482"/>
        <w:rPr>
          <w:rFonts w:cs="Times New Roman"/>
          <w:b/>
        </w:rPr>
      </w:pPr>
      <w:r>
        <w:rPr>
          <w:rFonts w:cs="Times New Roman"/>
          <w:b/>
        </w:rPr>
        <w:t>3、标准规范</w:t>
      </w:r>
    </w:p>
    <w:p>
      <w:pPr>
        <w:ind w:firstLine="480"/>
        <w:rPr>
          <w:rFonts w:cs="Times New Roman"/>
        </w:rPr>
      </w:pPr>
      <w:r>
        <w:rPr>
          <w:rFonts w:cs="Times New Roman"/>
        </w:rPr>
        <w:t>（1）《城市污水再生利用城市杂用水水质》（GB/T 18920-2002）；</w:t>
      </w:r>
    </w:p>
    <w:p>
      <w:pPr>
        <w:ind w:firstLine="480"/>
        <w:rPr>
          <w:rFonts w:cs="Times New Roman"/>
        </w:rPr>
      </w:pPr>
      <w:r>
        <w:rPr>
          <w:rFonts w:cs="Times New Roman"/>
        </w:rPr>
        <w:t>（2）《农田灌溉水质标准》（GB 5084-2005）；</w:t>
      </w:r>
    </w:p>
    <w:p>
      <w:pPr>
        <w:ind w:firstLine="480"/>
        <w:rPr>
          <w:rFonts w:cs="Times New Roman"/>
        </w:rPr>
      </w:pPr>
      <w:r>
        <w:rPr>
          <w:rFonts w:cs="Times New Roman"/>
        </w:rPr>
        <w:t>（3）《室外排水设计规范》（GB 50014-2006）；</w:t>
      </w:r>
    </w:p>
    <w:p>
      <w:pPr>
        <w:ind w:firstLine="480"/>
        <w:rPr>
          <w:rFonts w:cs="Times New Roman"/>
        </w:rPr>
      </w:pPr>
      <w:r>
        <w:rPr>
          <w:rFonts w:cs="Times New Roman"/>
        </w:rPr>
        <w:t>（4）《给水排水构筑物工程施工及验收规范》（GB 50141-2008）；</w:t>
      </w:r>
    </w:p>
    <w:p>
      <w:pPr>
        <w:ind w:firstLine="480"/>
        <w:rPr>
          <w:rFonts w:cs="Times New Roman"/>
        </w:rPr>
      </w:pPr>
      <w:r>
        <w:rPr>
          <w:rFonts w:cs="Times New Roman"/>
        </w:rPr>
        <w:t>（5）《给水排水管道工程施工及验收规范》（GB 50268-2008）；</w:t>
      </w:r>
    </w:p>
    <w:p>
      <w:pPr>
        <w:ind w:firstLine="480"/>
        <w:rPr>
          <w:rFonts w:cs="Times New Roman"/>
        </w:rPr>
      </w:pPr>
      <w:r>
        <w:rPr>
          <w:rFonts w:cs="Times New Roman"/>
        </w:rPr>
        <w:t>（6）《城镇污水处理厂污泥处置园林绿化用泥质》（GB/T 23486-2009）；</w:t>
      </w:r>
    </w:p>
    <w:p>
      <w:pPr>
        <w:ind w:firstLine="480"/>
        <w:rPr>
          <w:rFonts w:cs="Times New Roman"/>
        </w:rPr>
      </w:pPr>
      <w:r>
        <w:rPr>
          <w:rFonts w:cs="Times New Roman"/>
        </w:rPr>
        <w:t>（7）《城镇污水处理厂污泥处置土地改良用泥质》（GB/T 24600-2009）；</w:t>
      </w:r>
    </w:p>
    <w:p>
      <w:pPr>
        <w:ind w:firstLine="480"/>
        <w:rPr>
          <w:rFonts w:cs="Times New Roman"/>
        </w:rPr>
      </w:pPr>
      <w:r>
        <w:rPr>
          <w:rFonts w:cs="Times New Roman"/>
        </w:rPr>
        <w:t>（8）《人工湿地污水处理工程技术规范》（HJ 2005-2010）；</w:t>
      </w:r>
    </w:p>
    <w:p>
      <w:pPr>
        <w:ind w:firstLine="480"/>
        <w:rPr>
          <w:rFonts w:cs="Times New Roman"/>
        </w:rPr>
      </w:pPr>
      <w:r>
        <w:rPr>
          <w:rFonts w:cs="Times New Roman"/>
        </w:rPr>
        <w:t>（9）《生物接触氧化法污水处理工程技术规范》（HJ 2009-2011）；</w:t>
      </w:r>
    </w:p>
    <w:p>
      <w:pPr>
        <w:ind w:firstLine="480"/>
        <w:rPr>
          <w:rFonts w:cs="Times New Roman"/>
        </w:rPr>
      </w:pPr>
      <w:r>
        <w:rPr>
          <w:rFonts w:cs="Times New Roman"/>
        </w:rPr>
        <w:t>（10）《农村生活污水处理技术指南》(DB 14/T 727-2020)；</w:t>
      </w:r>
    </w:p>
    <w:p>
      <w:pPr>
        <w:ind w:firstLine="480"/>
        <w:rPr>
          <w:rFonts w:cs="Times New Roman"/>
        </w:rPr>
      </w:pPr>
      <w:r>
        <w:rPr>
          <w:rFonts w:cs="Times New Roman"/>
        </w:rPr>
        <w:t>（11）《污水排入城镇下水道水质标准》（GB/T 31962-2015）；</w:t>
      </w:r>
    </w:p>
    <w:p>
      <w:pPr>
        <w:ind w:firstLine="480"/>
        <w:rPr>
          <w:rFonts w:cs="Times New Roman"/>
        </w:rPr>
      </w:pPr>
      <w:r>
        <w:rPr>
          <w:rFonts w:cs="Times New Roman"/>
        </w:rPr>
        <w:t>（12）《城镇污水处理厂工程施工规范》（GB 51221-2017）；</w:t>
      </w:r>
    </w:p>
    <w:p>
      <w:pPr>
        <w:ind w:firstLine="480"/>
        <w:rPr>
          <w:rFonts w:cs="Times New Roman"/>
        </w:rPr>
      </w:pPr>
      <w:r>
        <w:rPr>
          <w:rFonts w:cs="Times New Roman"/>
        </w:rPr>
        <w:t>（13）《城镇污水处理厂工程质量验收规范》（GB 50334-2017）；</w:t>
      </w:r>
    </w:p>
    <w:p>
      <w:pPr>
        <w:ind w:firstLine="480"/>
        <w:rPr>
          <w:rFonts w:cs="Times New Roman"/>
        </w:rPr>
      </w:pPr>
      <w:r>
        <w:rPr>
          <w:rFonts w:cs="Times New Roman"/>
        </w:rPr>
        <w:t>（14）《农用污泥污染物控制标准》（GB 4284-2018）；</w:t>
      </w:r>
    </w:p>
    <w:p>
      <w:pPr>
        <w:ind w:firstLine="480"/>
        <w:rPr>
          <w:rFonts w:cs="Times New Roman"/>
        </w:rPr>
      </w:pPr>
      <w:r>
        <w:rPr>
          <w:rFonts w:cs="Times New Roman"/>
        </w:rPr>
        <w:t>（15）《建筑给水排水设计标准》（GB 50015-2019）；</w:t>
      </w:r>
    </w:p>
    <w:p>
      <w:pPr>
        <w:ind w:firstLine="480"/>
        <w:rPr>
          <w:rFonts w:cs="Times New Roman"/>
        </w:rPr>
      </w:pPr>
      <w:r>
        <w:rPr>
          <w:rFonts w:cs="Times New Roman"/>
        </w:rPr>
        <w:t>（16）《山西省地表水水环境功能区划》（DB 14/67-2019）；</w:t>
      </w:r>
    </w:p>
    <w:p>
      <w:pPr>
        <w:ind w:firstLine="480"/>
        <w:rPr>
          <w:rFonts w:cs="Times New Roman"/>
        </w:rPr>
      </w:pPr>
      <w:r>
        <w:rPr>
          <w:rFonts w:cs="Times New Roman"/>
        </w:rPr>
        <w:t>（17）《农村生活污水处理设施水污染物排放标准》（DB 14/726-2019）。</w:t>
      </w:r>
    </w:p>
    <w:p>
      <w:pPr>
        <w:ind w:firstLine="482"/>
        <w:rPr>
          <w:rFonts w:cs="Times New Roman"/>
          <w:b/>
        </w:rPr>
      </w:pPr>
      <w:r>
        <w:rPr>
          <w:rFonts w:cs="Times New Roman"/>
          <w:b/>
        </w:rPr>
        <w:t>4、其他</w:t>
      </w:r>
    </w:p>
    <w:p>
      <w:pPr>
        <w:ind w:firstLine="480"/>
        <w:rPr>
          <w:rFonts w:cs="Times New Roman"/>
        </w:rPr>
      </w:pPr>
      <w:r>
        <w:rPr>
          <w:rFonts w:cs="Times New Roman"/>
        </w:rPr>
        <w:t>（1）《保德县饮用水水源地保护区划分技术报告》；</w:t>
      </w:r>
    </w:p>
    <w:p>
      <w:pPr>
        <w:ind w:firstLine="480"/>
        <w:rPr>
          <w:rFonts w:cs="Times New Roman"/>
        </w:rPr>
      </w:pPr>
      <w:r>
        <w:rPr>
          <w:rFonts w:cs="Times New Roman"/>
        </w:rPr>
        <w:t>（2）《忻州市保德县乡镇集中式饮用水源划分技术报告》；</w:t>
      </w:r>
    </w:p>
    <w:p>
      <w:pPr>
        <w:ind w:firstLine="480"/>
        <w:rPr>
          <w:rFonts w:cs="Times New Roman"/>
        </w:rPr>
      </w:pPr>
      <w:r>
        <w:rPr>
          <w:rFonts w:cs="Times New Roman"/>
        </w:rPr>
        <w:t>（3）《保德县生态功能区划分报告》；</w:t>
      </w:r>
    </w:p>
    <w:p>
      <w:pPr>
        <w:ind w:firstLine="480"/>
        <w:rPr>
          <w:rFonts w:cs="Times New Roman"/>
        </w:rPr>
      </w:pPr>
      <w:r>
        <w:rPr>
          <w:rFonts w:cs="Times New Roman"/>
        </w:rPr>
        <w:t>（4）《保德县县域乡村建设规划（2018-2035）》。</w:t>
      </w:r>
    </w:p>
    <w:p>
      <w:pPr>
        <w:pStyle w:val="7"/>
        <w:rPr>
          <w:rFonts w:ascii="Times New Roman" w:hAnsi="Times New Roman" w:cs="Times New Roman"/>
        </w:rPr>
      </w:pPr>
      <w:bookmarkStart w:id="16" w:name="_Toc43848801"/>
      <w:r>
        <w:rPr>
          <w:rFonts w:ascii="Times New Roman" w:hAnsi="Times New Roman" w:cs="Times New Roman"/>
        </w:rPr>
        <w:t xml:space="preserve">1.3 </w:t>
      </w:r>
      <w:r>
        <w:rPr>
          <w:rFonts w:ascii="Times New Roman" w:cs="Times New Roman"/>
        </w:rPr>
        <w:t>规划原则</w:t>
      </w:r>
      <w:bookmarkEnd w:id="16"/>
    </w:p>
    <w:p>
      <w:pPr>
        <w:ind w:firstLine="480"/>
        <w:rPr>
          <w:rFonts w:cs="Times New Roman"/>
        </w:rPr>
      </w:pPr>
      <w:r>
        <w:rPr>
          <w:rFonts w:cs="Times New Roman"/>
        </w:rPr>
        <w:t>（1）科学规划，统筹安排</w:t>
      </w:r>
    </w:p>
    <w:p>
      <w:pPr>
        <w:ind w:firstLine="480"/>
        <w:rPr>
          <w:rFonts w:cs="Times New Roman"/>
        </w:rPr>
      </w:pPr>
      <w:r>
        <w:rPr>
          <w:rFonts w:cs="Times New Roman"/>
        </w:rPr>
        <w:t>以县域总体规划为先导，结合村庄规划、水环境功能区划、给排水规划、改厕等工作，充分考虑经济社会状况、生活污水产排规律、环境容量等因素，以污水减量化、分类就地处理、循环利用为导向，科学规划和安排农村生活污水治理工作。</w:t>
      </w:r>
    </w:p>
    <w:p>
      <w:pPr>
        <w:ind w:firstLine="480"/>
        <w:rPr>
          <w:rFonts w:cs="Times New Roman"/>
        </w:rPr>
      </w:pPr>
      <w:r>
        <w:rPr>
          <w:rFonts w:cs="Times New Roman"/>
        </w:rPr>
        <w:t>（2）突出重点，梯次推进</w:t>
      </w:r>
    </w:p>
    <w:p>
      <w:pPr>
        <w:ind w:firstLine="480"/>
        <w:rPr>
          <w:rFonts w:cs="Times New Roman"/>
        </w:rPr>
      </w:pPr>
      <w:r>
        <w:rPr>
          <w:rFonts w:cs="Times New Roman"/>
        </w:rPr>
        <w:t>坚持短期目标与长远规划相结合，既尽力而为，又量力而行。综合考虑现阶段城乡发展规划、财政投入能力等，合理确定污水治理任务目标。优先整治生态环境敏感、人口集聚以及水质需改善控制单元范围内的村庄，通过试点示范不断探索，梯次推进，全面覆盖。</w:t>
      </w:r>
    </w:p>
    <w:p>
      <w:pPr>
        <w:ind w:firstLine="480"/>
        <w:rPr>
          <w:rFonts w:cs="Times New Roman"/>
        </w:rPr>
      </w:pPr>
      <w:r>
        <w:rPr>
          <w:rFonts w:cs="Times New Roman"/>
        </w:rPr>
        <w:t>（3）因地制宜，分类治理</w:t>
      </w:r>
    </w:p>
    <w:p>
      <w:pPr>
        <w:ind w:firstLine="480"/>
        <w:rPr>
          <w:rFonts w:cs="Times New Roman"/>
        </w:rPr>
      </w:pPr>
      <w:r>
        <w:rPr>
          <w:rFonts w:cs="Times New Roman"/>
        </w:rPr>
        <w:t>综合考虑村庄地理区位、人口分布、污水产排状况、生态环境敏感程度、经济发展水平等，科学确定农村生活污水治理方式。靠近城镇、有条件的村庄，生活污水纳入城镇污水管网统一处理。人口集聚、利用空间不足、经济条件较好的村庄，可采取管网收集-集中处理-达标排放的治理方式。污水产生少、居住较为分散、地形地貌复杂的村庄，优先采用资源化利用的治理方式。</w:t>
      </w:r>
    </w:p>
    <w:p>
      <w:pPr>
        <w:ind w:firstLine="480"/>
        <w:rPr>
          <w:rFonts w:cs="Times New Roman"/>
        </w:rPr>
      </w:pPr>
      <w:r>
        <w:rPr>
          <w:rFonts w:cs="Times New Roman"/>
        </w:rPr>
        <w:t>（4）建管并重，长效运行</w:t>
      </w:r>
    </w:p>
    <w:p>
      <w:pPr>
        <w:ind w:firstLine="480"/>
        <w:rPr>
          <w:rFonts w:cs="Times New Roman"/>
        </w:rPr>
      </w:pPr>
      <w:r>
        <w:rPr>
          <w:rFonts w:cs="Times New Roman"/>
        </w:rPr>
        <w:t>先建机制、后建工程，推动以县级行政区域为单元，实行农村生活污水治理统一规划、统一建设、统一运行、统一管理，励规模化、专业化、社会化建设和运行管理。有条件的地区，探索建立污水处理受益农户付费制度和多元化的运行保障机制，确保治理长效。</w:t>
      </w:r>
    </w:p>
    <w:p>
      <w:pPr>
        <w:ind w:firstLine="480"/>
        <w:rPr>
          <w:rFonts w:cs="Times New Roman"/>
        </w:rPr>
      </w:pPr>
      <w:r>
        <w:rPr>
          <w:rFonts w:cs="Times New Roman"/>
        </w:rPr>
        <w:t>（5）经济实用，易于推广</w:t>
      </w:r>
    </w:p>
    <w:p>
      <w:pPr>
        <w:ind w:firstLine="480"/>
        <w:rPr>
          <w:rFonts w:cs="Times New Roman"/>
        </w:rPr>
      </w:pPr>
      <w:r>
        <w:rPr>
          <w:rFonts w:cs="Times New Roman"/>
        </w:rPr>
        <w:t>充分调查农村水环境质量、污水排放现状和治理需求，考虑当地经济发展水平、污水产生规模和农民生产生活需求，综合评判农村生活污水治理的环境效益、社会效益和经济效益，选择技术成熟、经济实用、管理方便、运行稳定的农村生活污水治理模式。</w:t>
      </w:r>
    </w:p>
    <w:p>
      <w:pPr>
        <w:spacing w:line="240" w:lineRule="auto"/>
        <w:ind w:firstLine="480"/>
        <w:rPr>
          <w:rFonts w:cs="Times New Roman"/>
        </w:rPr>
      </w:pPr>
      <w:r>
        <w:rPr>
          <w:rFonts w:cs="Times New Roman"/>
        </w:rPr>
        <w:t>（6）政府主导，社会参与</w:t>
      </w:r>
    </w:p>
    <w:p>
      <w:pPr>
        <w:ind w:firstLine="480"/>
        <w:rPr>
          <w:rFonts w:cs="Times New Roman"/>
        </w:rPr>
      </w:pPr>
      <w:r>
        <w:rPr>
          <w:rFonts w:cs="Times New Roman"/>
        </w:rPr>
        <w:t>强化地方政府主体责任，加大财政资金投入力度，引导农民以投工投劳等方式参与设施建设和运维，鼓励采用政府和社会资本合作模式，引导企业和金融机构积极参与，推动农村生活污水第三方治理。</w:t>
      </w:r>
    </w:p>
    <w:p>
      <w:pPr>
        <w:pStyle w:val="7"/>
        <w:rPr>
          <w:rFonts w:ascii="Times New Roman" w:hAnsi="Times New Roman" w:cs="Times New Roman"/>
        </w:rPr>
      </w:pPr>
      <w:bookmarkStart w:id="17" w:name="_Toc43848802"/>
      <w:r>
        <w:rPr>
          <w:rFonts w:ascii="Times New Roman" w:hAnsi="Times New Roman" w:cs="Times New Roman"/>
        </w:rPr>
        <w:t>1.4 规划范围</w:t>
      </w:r>
      <w:bookmarkEnd w:id="17"/>
    </w:p>
    <w:p>
      <w:pPr>
        <w:ind w:firstLine="480"/>
        <w:rPr>
          <w:rFonts w:cs="Times New Roman"/>
        </w:rPr>
      </w:pPr>
      <w:r>
        <w:rPr>
          <w:rFonts w:cs="Times New Roman"/>
        </w:rPr>
        <w:t>保德县现辖义门镇、东关镇、腰庄乡、杨家湾镇、桥头镇、窑圪台乡、窑洼乡、韩家川乡、孙家沟乡、林遮峪乡、南河沟乡、冯家川乡和土崖塔乡等4个镇，9个乡，共222个行政村。</w:t>
      </w:r>
    </w:p>
    <w:p>
      <w:pPr>
        <w:ind w:firstLine="480"/>
        <w:rPr>
          <w:rFonts w:cs="Times New Roman"/>
        </w:rPr>
      </w:pPr>
      <w:r>
        <w:rPr>
          <w:rFonts w:cs="Times New Roman"/>
        </w:rPr>
        <w:t>根据村庄的位置布局、人口数量、经济状况、基础设施建设、治理需求等实际情况，遵循污水处理设施建设后必须保证正常运行的目标，按照“突出重点，梯次推进”的原则，对各村庄逐一筛选，确定本次规划内容为暂未开展农村生活污水治理工作的1</w:t>
      </w:r>
      <w:r>
        <w:rPr>
          <w:rFonts w:hint="eastAsia" w:cs="Times New Roman"/>
          <w:lang w:val="en-US" w:eastAsia="zh-CN"/>
        </w:rPr>
        <w:t>1</w:t>
      </w:r>
      <w:r>
        <w:rPr>
          <w:rFonts w:cs="Times New Roman"/>
        </w:rPr>
        <w:t>个行政村（表1-1），规划实施后受益人口共计20072人。</w:t>
      </w:r>
    </w:p>
    <w:p>
      <w:pPr>
        <w:pStyle w:val="16"/>
        <w:spacing w:line="240" w:lineRule="auto"/>
        <w:ind w:firstLine="0" w:firstLineChars="0"/>
        <w:rPr>
          <w:rFonts w:eastAsia="黑体" w:cs="Times New Roman"/>
          <w:b w:val="0"/>
          <w:bCs/>
        </w:rPr>
      </w:pPr>
      <w:r>
        <w:rPr>
          <w:rFonts w:eastAsia="黑体" w:cs="Times New Roman"/>
          <w:b w:val="0"/>
          <w:bCs/>
        </w:rPr>
        <w:t>表1-1  规划村庄明细</w:t>
      </w:r>
    </w:p>
    <w:tbl>
      <w:tblPr>
        <w:tblStyle w:val="29"/>
        <w:tblW w:w="5000" w:type="pct"/>
        <w:tblInd w:w="0" w:type="dxa"/>
        <w:tblLayout w:type="autofit"/>
        <w:tblCellMar>
          <w:top w:w="0" w:type="dxa"/>
          <w:left w:w="108" w:type="dxa"/>
          <w:bottom w:w="0" w:type="dxa"/>
          <w:right w:w="108" w:type="dxa"/>
        </w:tblCellMar>
      </w:tblPr>
      <w:tblGrid>
        <w:gridCol w:w="914"/>
        <w:gridCol w:w="2038"/>
        <w:gridCol w:w="2038"/>
        <w:gridCol w:w="2038"/>
        <w:gridCol w:w="2032"/>
      </w:tblGrid>
      <w:tr>
        <w:tblPrEx>
          <w:tblCellMar>
            <w:top w:w="0" w:type="dxa"/>
            <w:left w:w="108" w:type="dxa"/>
            <w:bottom w:w="0" w:type="dxa"/>
            <w:right w:w="108" w:type="dxa"/>
          </w:tblCellMar>
        </w:tblPrEx>
        <w:trPr>
          <w:trHeight w:val="283" w:hRule="atLeast"/>
          <w:tblHeader/>
        </w:trPr>
        <w:tc>
          <w:tcPr>
            <w:tcW w:w="50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序号</w:t>
            </w:r>
          </w:p>
        </w:tc>
        <w:tc>
          <w:tcPr>
            <w:tcW w:w="112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乡镇</w:t>
            </w:r>
          </w:p>
        </w:tc>
        <w:tc>
          <w:tcPr>
            <w:tcW w:w="112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1124" w:type="pct"/>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常住人口数（人）</w:t>
            </w:r>
          </w:p>
        </w:tc>
        <w:tc>
          <w:tcPr>
            <w:tcW w:w="1121" w:type="pct"/>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center"/>
              <w:rPr>
                <w:rFonts w:eastAsia="黑体" w:cs="Times New Roman"/>
                <w:kern w:val="0"/>
                <w:sz w:val="21"/>
                <w:szCs w:val="21"/>
              </w:rPr>
            </w:pPr>
            <w:r>
              <w:rPr>
                <w:rFonts w:hint="eastAsia" w:eastAsia="黑体" w:cs="Times New Roman"/>
                <w:kern w:val="0"/>
                <w:sz w:val="21"/>
                <w:szCs w:val="21"/>
              </w:rPr>
              <w:t>处置方式</w:t>
            </w:r>
          </w:p>
        </w:tc>
      </w:tr>
      <w:tr>
        <w:tblPrEx>
          <w:tblCellMar>
            <w:top w:w="0" w:type="dxa"/>
            <w:left w:w="108" w:type="dxa"/>
            <w:bottom w:w="0" w:type="dxa"/>
            <w:right w:w="108" w:type="dxa"/>
          </w:tblCellMar>
        </w:tblPrEx>
        <w:trPr>
          <w:trHeight w:val="283" w:hRule="atLeast"/>
        </w:trPr>
        <w:tc>
          <w:tcPr>
            <w:tcW w:w="504"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1</w:t>
            </w:r>
          </w:p>
        </w:tc>
        <w:tc>
          <w:tcPr>
            <w:tcW w:w="112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112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郭家滩村</w:t>
            </w:r>
          </w:p>
        </w:tc>
        <w:tc>
          <w:tcPr>
            <w:tcW w:w="1124" w:type="pct"/>
            <w:tcBorders>
              <w:top w:val="nil"/>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5800</w:t>
            </w:r>
          </w:p>
        </w:tc>
        <w:tc>
          <w:tcPr>
            <w:tcW w:w="1121" w:type="pct"/>
            <w:tcBorders>
              <w:top w:val="nil"/>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截污纳管</w:t>
            </w:r>
          </w:p>
        </w:tc>
      </w:tr>
      <w:tr>
        <w:tblPrEx>
          <w:tblCellMar>
            <w:top w:w="0" w:type="dxa"/>
            <w:left w:w="108" w:type="dxa"/>
            <w:bottom w:w="0" w:type="dxa"/>
            <w:right w:w="108" w:type="dxa"/>
          </w:tblCellMar>
        </w:tblPrEx>
        <w:trPr>
          <w:trHeight w:val="283" w:hRule="atLeast"/>
        </w:trPr>
        <w:tc>
          <w:tcPr>
            <w:tcW w:w="504"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2</w:t>
            </w:r>
          </w:p>
        </w:tc>
        <w:tc>
          <w:tcPr>
            <w:tcW w:w="112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112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铁匠铺村</w:t>
            </w:r>
          </w:p>
        </w:tc>
        <w:tc>
          <w:tcPr>
            <w:tcW w:w="1124" w:type="pct"/>
            <w:tcBorders>
              <w:top w:val="nil"/>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1800</w:t>
            </w:r>
          </w:p>
        </w:tc>
        <w:tc>
          <w:tcPr>
            <w:tcW w:w="1121" w:type="pct"/>
            <w:tcBorders>
              <w:top w:val="nil"/>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截污纳管</w:t>
            </w:r>
          </w:p>
        </w:tc>
      </w:tr>
      <w:tr>
        <w:tblPrEx>
          <w:tblCellMar>
            <w:top w:w="0" w:type="dxa"/>
            <w:left w:w="108" w:type="dxa"/>
            <w:bottom w:w="0" w:type="dxa"/>
            <w:right w:w="108" w:type="dxa"/>
          </w:tblCellMar>
        </w:tblPrEx>
        <w:trPr>
          <w:trHeight w:val="283" w:hRule="atLeast"/>
        </w:trPr>
        <w:tc>
          <w:tcPr>
            <w:tcW w:w="504"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3</w:t>
            </w:r>
          </w:p>
        </w:tc>
        <w:tc>
          <w:tcPr>
            <w:tcW w:w="112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112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马家滩</w:t>
            </w:r>
            <w:r>
              <w:rPr>
                <w:rFonts w:cs="Times New Roman"/>
                <w:sz w:val="21"/>
                <w:szCs w:val="21"/>
              </w:rPr>
              <w:t>村</w:t>
            </w:r>
          </w:p>
        </w:tc>
        <w:tc>
          <w:tcPr>
            <w:tcW w:w="1124" w:type="pct"/>
            <w:tcBorders>
              <w:top w:val="nil"/>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5600</w:t>
            </w:r>
          </w:p>
        </w:tc>
        <w:tc>
          <w:tcPr>
            <w:tcW w:w="1121" w:type="pct"/>
            <w:tcBorders>
              <w:top w:val="nil"/>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截污纳管</w:t>
            </w:r>
          </w:p>
        </w:tc>
      </w:tr>
      <w:tr>
        <w:tblPrEx>
          <w:tblCellMar>
            <w:top w:w="0" w:type="dxa"/>
            <w:left w:w="108" w:type="dxa"/>
            <w:bottom w:w="0" w:type="dxa"/>
            <w:right w:w="108" w:type="dxa"/>
          </w:tblCellMar>
        </w:tblPrEx>
        <w:trPr>
          <w:trHeight w:val="283" w:hRule="atLeast"/>
        </w:trPr>
        <w:tc>
          <w:tcPr>
            <w:tcW w:w="504"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4</w:t>
            </w:r>
          </w:p>
        </w:tc>
        <w:tc>
          <w:tcPr>
            <w:tcW w:w="112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112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王家滩村</w:t>
            </w:r>
          </w:p>
        </w:tc>
        <w:tc>
          <w:tcPr>
            <w:tcW w:w="1124" w:type="pct"/>
            <w:tcBorders>
              <w:top w:val="nil"/>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2300</w:t>
            </w:r>
          </w:p>
        </w:tc>
        <w:tc>
          <w:tcPr>
            <w:tcW w:w="1121" w:type="pct"/>
            <w:tcBorders>
              <w:top w:val="nil"/>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截污纳管</w:t>
            </w:r>
          </w:p>
        </w:tc>
      </w:tr>
      <w:tr>
        <w:tblPrEx>
          <w:tblCellMar>
            <w:top w:w="0" w:type="dxa"/>
            <w:left w:w="108" w:type="dxa"/>
            <w:bottom w:w="0" w:type="dxa"/>
            <w:right w:w="108" w:type="dxa"/>
          </w:tblCellMar>
        </w:tblPrEx>
        <w:trPr>
          <w:trHeight w:val="283" w:hRule="atLeast"/>
        </w:trPr>
        <w:tc>
          <w:tcPr>
            <w:tcW w:w="504"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5</w:t>
            </w:r>
          </w:p>
        </w:tc>
        <w:tc>
          <w:tcPr>
            <w:tcW w:w="112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112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张家圪</w:t>
            </w:r>
            <w:r>
              <w:rPr>
                <w:rFonts w:hint="eastAsia" w:cs="Times New Roman"/>
                <w:sz w:val="21"/>
                <w:szCs w:val="21"/>
                <w:lang w:eastAsia="zh-CN"/>
              </w:rPr>
              <w:t>坨</w:t>
            </w:r>
            <w:r>
              <w:rPr>
                <w:rFonts w:hint="eastAsia" w:cs="Times New Roman"/>
                <w:sz w:val="21"/>
                <w:szCs w:val="21"/>
              </w:rPr>
              <w:t>村</w:t>
            </w:r>
          </w:p>
        </w:tc>
        <w:tc>
          <w:tcPr>
            <w:tcW w:w="1124" w:type="pct"/>
            <w:tcBorders>
              <w:top w:val="nil"/>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690</w:t>
            </w:r>
          </w:p>
        </w:tc>
        <w:tc>
          <w:tcPr>
            <w:tcW w:w="1121" w:type="pct"/>
            <w:tcBorders>
              <w:top w:val="nil"/>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截污纳管</w:t>
            </w:r>
          </w:p>
        </w:tc>
      </w:tr>
      <w:tr>
        <w:tblPrEx>
          <w:tblCellMar>
            <w:top w:w="0" w:type="dxa"/>
            <w:left w:w="108" w:type="dxa"/>
            <w:bottom w:w="0" w:type="dxa"/>
            <w:right w:w="108" w:type="dxa"/>
          </w:tblCellMar>
        </w:tblPrEx>
        <w:trPr>
          <w:trHeight w:val="283" w:hRule="atLeast"/>
        </w:trPr>
        <w:tc>
          <w:tcPr>
            <w:tcW w:w="504"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cs="Times New Roman"/>
                <w:sz w:val="21"/>
                <w:szCs w:val="21"/>
                <w:lang w:val="en-US" w:eastAsia="zh-CN"/>
              </w:rPr>
              <w:t>6</w:t>
            </w:r>
          </w:p>
        </w:tc>
        <w:tc>
          <w:tcPr>
            <w:tcW w:w="112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cs="Times New Roman"/>
                <w:sz w:val="21"/>
                <w:szCs w:val="21"/>
              </w:rPr>
              <w:t>杨家湾镇</w:t>
            </w:r>
          </w:p>
        </w:tc>
        <w:tc>
          <w:tcPr>
            <w:tcW w:w="112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cs="Times New Roman"/>
                <w:sz w:val="21"/>
                <w:szCs w:val="21"/>
              </w:rPr>
              <w:t>花园村</w:t>
            </w:r>
          </w:p>
        </w:tc>
        <w:tc>
          <w:tcPr>
            <w:tcW w:w="1124" w:type="pct"/>
            <w:tcBorders>
              <w:top w:val="nil"/>
              <w:left w:val="nil"/>
              <w:bottom w:val="single" w:color="auto" w:sz="4" w:space="0"/>
              <w:right w:val="single" w:color="auto" w:sz="4" w:space="0"/>
            </w:tcBorders>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cs="Times New Roman"/>
                <w:sz w:val="21"/>
                <w:szCs w:val="21"/>
              </w:rPr>
              <w:t>400</w:t>
            </w:r>
          </w:p>
        </w:tc>
        <w:tc>
          <w:tcPr>
            <w:tcW w:w="1121" w:type="pct"/>
            <w:tcBorders>
              <w:top w:val="nil"/>
              <w:left w:val="nil"/>
              <w:bottom w:val="single" w:color="auto" w:sz="4" w:space="0"/>
              <w:right w:val="single" w:color="auto" w:sz="4" w:space="0"/>
            </w:tcBorders>
            <w:vAlign w:val="center"/>
          </w:tcPr>
          <w:p>
            <w:pPr>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cs="Times New Roman"/>
                <w:sz w:val="21"/>
                <w:szCs w:val="21"/>
              </w:rPr>
              <w:t>集中治理</w:t>
            </w:r>
          </w:p>
        </w:tc>
      </w:tr>
      <w:tr>
        <w:tblPrEx>
          <w:tblCellMar>
            <w:top w:w="0" w:type="dxa"/>
            <w:left w:w="108" w:type="dxa"/>
            <w:bottom w:w="0" w:type="dxa"/>
            <w:right w:w="108" w:type="dxa"/>
          </w:tblCellMar>
        </w:tblPrEx>
        <w:trPr>
          <w:trHeight w:val="283" w:hRule="atLeast"/>
        </w:trPr>
        <w:tc>
          <w:tcPr>
            <w:tcW w:w="504"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eastAsia="宋体" w:cs="Times New Roman"/>
                <w:sz w:val="21"/>
                <w:szCs w:val="21"/>
                <w:lang w:eastAsia="zh-CN"/>
              </w:rPr>
            </w:pPr>
            <w:r>
              <w:rPr>
                <w:rFonts w:hint="eastAsia" w:cs="Times New Roman"/>
                <w:sz w:val="21"/>
                <w:szCs w:val="21"/>
                <w:lang w:val="en-US" w:eastAsia="zh-CN"/>
              </w:rPr>
              <w:t>7</w:t>
            </w:r>
          </w:p>
        </w:tc>
        <w:tc>
          <w:tcPr>
            <w:tcW w:w="112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义门镇</w:t>
            </w:r>
          </w:p>
        </w:tc>
        <w:tc>
          <w:tcPr>
            <w:tcW w:w="112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刘家畔村</w:t>
            </w:r>
          </w:p>
        </w:tc>
        <w:tc>
          <w:tcPr>
            <w:tcW w:w="1124" w:type="pct"/>
            <w:tcBorders>
              <w:top w:val="nil"/>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350</w:t>
            </w:r>
          </w:p>
        </w:tc>
        <w:tc>
          <w:tcPr>
            <w:tcW w:w="1121" w:type="pct"/>
            <w:tcBorders>
              <w:top w:val="nil"/>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分散治理</w:t>
            </w:r>
          </w:p>
        </w:tc>
      </w:tr>
      <w:tr>
        <w:tblPrEx>
          <w:tblCellMar>
            <w:top w:w="0" w:type="dxa"/>
            <w:left w:w="108" w:type="dxa"/>
            <w:bottom w:w="0" w:type="dxa"/>
            <w:right w:w="108" w:type="dxa"/>
          </w:tblCellMar>
        </w:tblPrEx>
        <w:trPr>
          <w:trHeight w:val="283" w:hRule="atLeast"/>
        </w:trPr>
        <w:tc>
          <w:tcPr>
            <w:tcW w:w="504"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eastAsia="宋体" w:cs="Times New Roman"/>
                <w:sz w:val="21"/>
                <w:szCs w:val="21"/>
                <w:lang w:eastAsia="zh-CN"/>
              </w:rPr>
            </w:pPr>
            <w:r>
              <w:rPr>
                <w:rFonts w:hint="eastAsia" w:cs="Times New Roman"/>
                <w:sz w:val="21"/>
                <w:szCs w:val="21"/>
                <w:lang w:val="en-US" w:eastAsia="zh-CN"/>
              </w:rPr>
              <w:t>8</w:t>
            </w:r>
          </w:p>
        </w:tc>
        <w:tc>
          <w:tcPr>
            <w:tcW w:w="112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桥头镇</w:t>
            </w:r>
          </w:p>
        </w:tc>
        <w:tc>
          <w:tcPr>
            <w:tcW w:w="112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夏柳青村</w:t>
            </w:r>
          </w:p>
        </w:tc>
        <w:tc>
          <w:tcPr>
            <w:tcW w:w="1124" w:type="pct"/>
            <w:tcBorders>
              <w:top w:val="nil"/>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620</w:t>
            </w:r>
          </w:p>
        </w:tc>
        <w:tc>
          <w:tcPr>
            <w:tcW w:w="1121" w:type="pct"/>
            <w:tcBorders>
              <w:top w:val="nil"/>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分散治理</w:t>
            </w:r>
          </w:p>
        </w:tc>
      </w:tr>
      <w:tr>
        <w:tblPrEx>
          <w:tblCellMar>
            <w:top w:w="0" w:type="dxa"/>
            <w:left w:w="108" w:type="dxa"/>
            <w:bottom w:w="0" w:type="dxa"/>
            <w:right w:w="108" w:type="dxa"/>
          </w:tblCellMar>
        </w:tblPrEx>
        <w:trPr>
          <w:trHeight w:val="283" w:hRule="atLeast"/>
        </w:trPr>
        <w:tc>
          <w:tcPr>
            <w:tcW w:w="504"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eastAsia="宋体" w:cs="Times New Roman"/>
                <w:sz w:val="21"/>
                <w:szCs w:val="21"/>
                <w:lang w:eastAsia="zh-CN"/>
              </w:rPr>
            </w:pPr>
            <w:r>
              <w:rPr>
                <w:rFonts w:hint="eastAsia" w:cs="Times New Roman"/>
                <w:sz w:val="21"/>
                <w:szCs w:val="21"/>
                <w:lang w:val="en-US" w:eastAsia="zh-CN"/>
              </w:rPr>
              <w:t>9</w:t>
            </w:r>
          </w:p>
        </w:tc>
        <w:tc>
          <w:tcPr>
            <w:tcW w:w="112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腰庄乡</w:t>
            </w:r>
          </w:p>
        </w:tc>
        <w:tc>
          <w:tcPr>
            <w:tcW w:w="1124"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腰庄村</w:t>
            </w:r>
          </w:p>
        </w:tc>
        <w:tc>
          <w:tcPr>
            <w:tcW w:w="1124" w:type="pct"/>
            <w:tcBorders>
              <w:top w:val="nil"/>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642</w:t>
            </w:r>
          </w:p>
        </w:tc>
        <w:tc>
          <w:tcPr>
            <w:tcW w:w="1121" w:type="pct"/>
            <w:tcBorders>
              <w:top w:val="nil"/>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分散治理</w:t>
            </w:r>
          </w:p>
        </w:tc>
      </w:tr>
      <w:tr>
        <w:tblPrEx>
          <w:tblCellMar>
            <w:top w:w="0" w:type="dxa"/>
            <w:left w:w="108" w:type="dxa"/>
            <w:bottom w:w="0" w:type="dxa"/>
            <w:right w:w="108" w:type="dxa"/>
          </w:tblCellMar>
        </w:tblPrEx>
        <w:trPr>
          <w:trHeight w:val="283" w:hRule="atLeast"/>
        </w:trPr>
        <w:tc>
          <w:tcPr>
            <w:tcW w:w="504"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eastAsia="宋体" w:cs="Times New Roman"/>
                <w:sz w:val="21"/>
                <w:szCs w:val="21"/>
                <w:lang w:val="en-US" w:eastAsia="zh-CN"/>
              </w:rPr>
            </w:pPr>
            <w:r>
              <w:rPr>
                <w:rFonts w:hint="eastAsia" w:cs="Times New Roman"/>
                <w:sz w:val="21"/>
                <w:szCs w:val="21"/>
                <w:lang w:val="en-US" w:eastAsia="zh-CN"/>
              </w:rPr>
              <w:t>10</w:t>
            </w:r>
          </w:p>
        </w:tc>
        <w:tc>
          <w:tcPr>
            <w:tcW w:w="1124" w:type="pct"/>
            <w:tcBorders>
              <w:top w:val="single" w:color="auto" w:sz="4" w:space="0"/>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冯家川乡</w:t>
            </w:r>
          </w:p>
        </w:tc>
        <w:tc>
          <w:tcPr>
            <w:tcW w:w="1124" w:type="pct"/>
            <w:tcBorders>
              <w:top w:val="single" w:color="auto" w:sz="4" w:space="0"/>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冯家川</w:t>
            </w:r>
            <w:r>
              <w:rPr>
                <w:rFonts w:cs="Times New Roman"/>
                <w:sz w:val="21"/>
                <w:szCs w:val="21"/>
              </w:rPr>
              <w:t>村</w:t>
            </w:r>
          </w:p>
        </w:tc>
        <w:tc>
          <w:tcPr>
            <w:tcW w:w="1124"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280</w:t>
            </w:r>
          </w:p>
        </w:tc>
        <w:tc>
          <w:tcPr>
            <w:tcW w:w="1121"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分散治理</w:t>
            </w:r>
          </w:p>
        </w:tc>
      </w:tr>
      <w:tr>
        <w:tblPrEx>
          <w:tblCellMar>
            <w:top w:w="0" w:type="dxa"/>
            <w:left w:w="108" w:type="dxa"/>
            <w:bottom w:w="0" w:type="dxa"/>
            <w:right w:w="108" w:type="dxa"/>
          </w:tblCellMar>
        </w:tblPrEx>
        <w:trPr>
          <w:trHeight w:val="283" w:hRule="atLeast"/>
        </w:trPr>
        <w:tc>
          <w:tcPr>
            <w:tcW w:w="504"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eastAsia="宋体" w:cs="Times New Roman"/>
                <w:sz w:val="21"/>
                <w:szCs w:val="21"/>
                <w:lang w:val="en-US" w:eastAsia="zh-CN"/>
              </w:rPr>
            </w:pPr>
            <w:r>
              <w:rPr>
                <w:rFonts w:hint="eastAsia" w:cs="Times New Roman"/>
                <w:sz w:val="21"/>
                <w:szCs w:val="21"/>
                <w:lang w:val="en-US" w:eastAsia="zh-CN"/>
              </w:rPr>
              <w:t>11</w:t>
            </w:r>
          </w:p>
        </w:tc>
        <w:tc>
          <w:tcPr>
            <w:tcW w:w="1124" w:type="pct"/>
            <w:tcBorders>
              <w:top w:val="single" w:color="auto" w:sz="4" w:space="0"/>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冯家川乡</w:t>
            </w:r>
          </w:p>
        </w:tc>
        <w:tc>
          <w:tcPr>
            <w:tcW w:w="1124" w:type="pct"/>
            <w:tcBorders>
              <w:top w:val="single" w:color="auto" w:sz="4" w:space="0"/>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神山村</w:t>
            </w:r>
          </w:p>
        </w:tc>
        <w:tc>
          <w:tcPr>
            <w:tcW w:w="1124"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300</w:t>
            </w:r>
          </w:p>
        </w:tc>
        <w:tc>
          <w:tcPr>
            <w:tcW w:w="1121"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分散治理</w:t>
            </w:r>
          </w:p>
        </w:tc>
      </w:tr>
      <w:bookmarkEnd w:id="4"/>
      <w:bookmarkEnd w:id="5"/>
      <w:bookmarkEnd w:id="6"/>
      <w:bookmarkEnd w:id="7"/>
      <w:bookmarkEnd w:id="8"/>
      <w:bookmarkEnd w:id="9"/>
      <w:bookmarkEnd w:id="10"/>
      <w:bookmarkEnd w:id="11"/>
      <w:bookmarkEnd w:id="12"/>
      <w:bookmarkEnd w:id="13"/>
      <w:bookmarkEnd w:id="14"/>
      <w:bookmarkEnd w:id="15"/>
    </w:tbl>
    <w:p>
      <w:pPr>
        <w:pStyle w:val="7"/>
        <w:rPr>
          <w:rFonts w:ascii="Times New Roman" w:hAnsi="Times New Roman" w:cs="Times New Roman"/>
        </w:rPr>
      </w:pPr>
      <w:bookmarkStart w:id="18" w:name="_Toc43848803"/>
      <w:r>
        <w:rPr>
          <w:rFonts w:ascii="Times New Roman" w:hAnsi="Times New Roman" w:cs="Times New Roman"/>
        </w:rPr>
        <w:t>1.5 规划期限及目标</w:t>
      </w:r>
      <w:bookmarkEnd w:id="18"/>
    </w:p>
    <w:p>
      <w:pPr>
        <w:ind w:firstLine="480"/>
        <w:rPr>
          <w:rFonts w:cs="Times New Roman"/>
        </w:rPr>
      </w:pPr>
      <w:r>
        <w:rPr>
          <w:rFonts w:cs="Times New Roman"/>
        </w:rPr>
        <w:t>规划年限：202</w:t>
      </w:r>
      <w:r>
        <w:rPr>
          <w:rFonts w:hint="eastAsia" w:cs="Times New Roman"/>
          <w:lang w:val="en-US" w:eastAsia="zh-CN"/>
        </w:rPr>
        <w:t>1</w:t>
      </w:r>
      <w:r>
        <w:rPr>
          <w:rFonts w:cs="Times New Roman"/>
        </w:rPr>
        <w:t>-2025年。近期规划为202</w:t>
      </w:r>
      <w:r>
        <w:rPr>
          <w:rFonts w:hint="eastAsia" w:cs="Times New Roman"/>
          <w:lang w:val="en-US" w:eastAsia="zh-CN"/>
        </w:rPr>
        <w:t>1</w:t>
      </w:r>
      <w:r>
        <w:rPr>
          <w:rFonts w:cs="Times New Roman"/>
        </w:rPr>
        <w:t>-2022年，远期规划为2023-2025年。</w:t>
      </w:r>
    </w:p>
    <w:p>
      <w:pPr>
        <w:ind w:firstLine="480"/>
        <w:rPr>
          <w:rFonts w:cs="Times New Roman"/>
        </w:rPr>
      </w:pPr>
      <w:bookmarkStart w:id="19" w:name="_Toc6055968"/>
      <w:r>
        <w:rPr>
          <w:rFonts w:cs="Times New Roman"/>
        </w:rPr>
        <w:t>本次规划需开展污水治理的村庄共1</w:t>
      </w:r>
      <w:r>
        <w:rPr>
          <w:rFonts w:hint="eastAsia" w:cs="Times New Roman"/>
          <w:lang w:val="en-US" w:eastAsia="zh-CN"/>
        </w:rPr>
        <w:t>1</w:t>
      </w:r>
      <w:r>
        <w:rPr>
          <w:rFonts w:cs="Times New Roman"/>
        </w:rPr>
        <w:t>个。根据环境敏感程度、人口数量、中心村、综合整治村庄及考核断面等因素，确定了不同治理村庄的优先等级，等级分为优先和一般。将等级为“优先”的治理村庄作为近期治理目标，将等级为“一般”的村庄作为远期治理目标，详见表1-2。</w:t>
      </w:r>
    </w:p>
    <w:p>
      <w:pPr>
        <w:pStyle w:val="16"/>
        <w:ind w:firstLine="0" w:firstLineChars="0"/>
        <w:rPr>
          <w:rFonts w:eastAsia="黑体" w:cs="Times New Roman"/>
          <w:b w:val="0"/>
          <w:bCs/>
        </w:rPr>
      </w:pPr>
      <w:r>
        <w:rPr>
          <w:rFonts w:eastAsia="黑体" w:cs="Times New Roman"/>
          <w:b w:val="0"/>
          <w:bCs/>
        </w:rPr>
        <w:t>表1-2  村庄治理进程</w:t>
      </w:r>
    </w:p>
    <w:tbl>
      <w:tblPr>
        <w:tblStyle w:val="29"/>
        <w:tblW w:w="5000" w:type="pct"/>
        <w:jc w:val="center"/>
        <w:tblLayout w:type="autofit"/>
        <w:tblCellMar>
          <w:top w:w="0" w:type="dxa"/>
          <w:left w:w="108" w:type="dxa"/>
          <w:bottom w:w="0" w:type="dxa"/>
          <w:right w:w="108" w:type="dxa"/>
        </w:tblCellMar>
      </w:tblPr>
      <w:tblGrid>
        <w:gridCol w:w="743"/>
        <w:gridCol w:w="2080"/>
        <w:gridCol w:w="2078"/>
        <w:gridCol w:w="2078"/>
        <w:gridCol w:w="2081"/>
      </w:tblGrid>
      <w:tr>
        <w:tblPrEx>
          <w:tblCellMar>
            <w:top w:w="0" w:type="dxa"/>
            <w:left w:w="108" w:type="dxa"/>
            <w:bottom w:w="0" w:type="dxa"/>
            <w:right w:w="108" w:type="dxa"/>
          </w:tblCellMar>
        </w:tblPrEx>
        <w:trPr>
          <w:trHeight w:val="351" w:hRule="atLeast"/>
          <w:tblHeader/>
          <w:jc w:val="center"/>
        </w:trPr>
        <w:tc>
          <w:tcPr>
            <w:tcW w:w="41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序号</w:t>
            </w:r>
          </w:p>
        </w:tc>
        <w:tc>
          <w:tcPr>
            <w:tcW w:w="1147"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乡镇</w:t>
            </w:r>
          </w:p>
        </w:tc>
        <w:tc>
          <w:tcPr>
            <w:tcW w:w="114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1146" w:type="pct"/>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优先等级</w:t>
            </w:r>
          </w:p>
        </w:tc>
        <w:tc>
          <w:tcPr>
            <w:tcW w:w="1148"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治理时限</w:t>
            </w:r>
          </w:p>
        </w:tc>
      </w:tr>
      <w:tr>
        <w:tblPrEx>
          <w:tblCellMar>
            <w:top w:w="0" w:type="dxa"/>
            <w:left w:w="108" w:type="dxa"/>
            <w:bottom w:w="0" w:type="dxa"/>
            <w:right w:w="108" w:type="dxa"/>
          </w:tblCellMar>
        </w:tblPrEx>
        <w:trPr>
          <w:trHeight w:val="301" w:hRule="atLeast"/>
          <w:jc w:val="center"/>
        </w:trPr>
        <w:tc>
          <w:tcPr>
            <w:tcW w:w="410"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1</w:t>
            </w:r>
          </w:p>
        </w:tc>
        <w:tc>
          <w:tcPr>
            <w:tcW w:w="11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114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郭家滩村</w:t>
            </w:r>
          </w:p>
        </w:tc>
        <w:tc>
          <w:tcPr>
            <w:tcW w:w="114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优先</w:t>
            </w:r>
          </w:p>
        </w:tc>
        <w:tc>
          <w:tcPr>
            <w:tcW w:w="1148"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近期</w:t>
            </w:r>
          </w:p>
        </w:tc>
      </w:tr>
      <w:tr>
        <w:tblPrEx>
          <w:tblCellMar>
            <w:top w:w="0" w:type="dxa"/>
            <w:left w:w="108" w:type="dxa"/>
            <w:bottom w:w="0" w:type="dxa"/>
            <w:right w:w="108" w:type="dxa"/>
          </w:tblCellMar>
        </w:tblPrEx>
        <w:trPr>
          <w:trHeight w:val="301" w:hRule="atLeast"/>
          <w:jc w:val="center"/>
        </w:trPr>
        <w:tc>
          <w:tcPr>
            <w:tcW w:w="410"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2</w:t>
            </w:r>
          </w:p>
        </w:tc>
        <w:tc>
          <w:tcPr>
            <w:tcW w:w="11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114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铁匠铺村</w:t>
            </w:r>
          </w:p>
        </w:tc>
        <w:tc>
          <w:tcPr>
            <w:tcW w:w="114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优先</w:t>
            </w:r>
          </w:p>
        </w:tc>
        <w:tc>
          <w:tcPr>
            <w:tcW w:w="1148"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近期</w:t>
            </w:r>
          </w:p>
        </w:tc>
      </w:tr>
      <w:tr>
        <w:tblPrEx>
          <w:tblCellMar>
            <w:top w:w="0" w:type="dxa"/>
            <w:left w:w="108" w:type="dxa"/>
            <w:bottom w:w="0" w:type="dxa"/>
            <w:right w:w="108" w:type="dxa"/>
          </w:tblCellMar>
        </w:tblPrEx>
        <w:trPr>
          <w:trHeight w:val="301" w:hRule="atLeast"/>
          <w:jc w:val="center"/>
        </w:trPr>
        <w:tc>
          <w:tcPr>
            <w:tcW w:w="410"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3</w:t>
            </w:r>
          </w:p>
        </w:tc>
        <w:tc>
          <w:tcPr>
            <w:tcW w:w="11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114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马家滩</w:t>
            </w:r>
            <w:r>
              <w:rPr>
                <w:rFonts w:cs="Times New Roman"/>
                <w:sz w:val="21"/>
                <w:szCs w:val="21"/>
              </w:rPr>
              <w:t>村</w:t>
            </w:r>
          </w:p>
        </w:tc>
        <w:tc>
          <w:tcPr>
            <w:tcW w:w="114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优先</w:t>
            </w:r>
          </w:p>
        </w:tc>
        <w:tc>
          <w:tcPr>
            <w:tcW w:w="1148"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近期</w:t>
            </w:r>
          </w:p>
        </w:tc>
      </w:tr>
      <w:tr>
        <w:tblPrEx>
          <w:tblCellMar>
            <w:top w:w="0" w:type="dxa"/>
            <w:left w:w="108" w:type="dxa"/>
            <w:bottom w:w="0" w:type="dxa"/>
            <w:right w:w="108" w:type="dxa"/>
          </w:tblCellMar>
        </w:tblPrEx>
        <w:trPr>
          <w:trHeight w:val="301" w:hRule="atLeast"/>
          <w:jc w:val="center"/>
        </w:trPr>
        <w:tc>
          <w:tcPr>
            <w:tcW w:w="410"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4</w:t>
            </w:r>
          </w:p>
        </w:tc>
        <w:tc>
          <w:tcPr>
            <w:tcW w:w="11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114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王家滩村</w:t>
            </w:r>
          </w:p>
        </w:tc>
        <w:tc>
          <w:tcPr>
            <w:tcW w:w="114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一般</w:t>
            </w:r>
          </w:p>
        </w:tc>
        <w:tc>
          <w:tcPr>
            <w:tcW w:w="1148"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远期</w:t>
            </w:r>
          </w:p>
        </w:tc>
      </w:tr>
      <w:tr>
        <w:tblPrEx>
          <w:tblCellMar>
            <w:top w:w="0" w:type="dxa"/>
            <w:left w:w="108" w:type="dxa"/>
            <w:bottom w:w="0" w:type="dxa"/>
            <w:right w:w="108" w:type="dxa"/>
          </w:tblCellMar>
        </w:tblPrEx>
        <w:trPr>
          <w:trHeight w:val="301" w:hRule="atLeast"/>
          <w:jc w:val="center"/>
        </w:trPr>
        <w:tc>
          <w:tcPr>
            <w:tcW w:w="410"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5</w:t>
            </w:r>
          </w:p>
        </w:tc>
        <w:tc>
          <w:tcPr>
            <w:tcW w:w="11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114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张家圪塔村</w:t>
            </w:r>
          </w:p>
        </w:tc>
        <w:tc>
          <w:tcPr>
            <w:tcW w:w="114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一般</w:t>
            </w:r>
          </w:p>
        </w:tc>
        <w:tc>
          <w:tcPr>
            <w:tcW w:w="1148"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远期</w:t>
            </w:r>
          </w:p>
        </w:tc>
      </w:tr>
      <w:tr>
        <w:tblPrEx>
          <w:tblCellMar>
            <w:top w:w="0" w:type="dxa"/>
            <w:left w:w="108" w:type="dxa"/>
            <w:bottom w:w="0" w:type="dxa"/>
            <w:right w:w="108" w:type="dxa"/>
          </w:tblCellMar>
        </w:tblPrEx>
        <w:trPr>
          <w:trHeight w:val="301" w:hRule="atLeast"/>
          <w:jc w:val="center"/>
        </w:trPr>
        <w:tc>
          <w:tcPr>
            <w:tcW w:w="410"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eastAsia="宋体" w:cs="Times New Roman"/>
                <w:sz w:val="21"/>
                <w:szCs w:val="21"/>
                <w:lang w:val="en-US" w:eastAsia="zh-CN"/>
              </w:rPr>
            </w:pPr>
            <w:r>
              <w:rPr>
                <w:rFonts w:hint="eastAsia" w:cs="Times New Roman"/>
                <w:sz w:val="21"/>
                <w:szCs w:val="21"/>
                <w:lang w:val="en-US" w:eastAsia="zh-CN"/>
              </w:rPr>
              <w:t>6</w:t>
            </w:r>
          </w:p>
        </w:tc>
        <w:tc>
          <w:tcPr>
            <w:tcW w:w="11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cs="Times New Roman"/>
                <w:sz w:val="21"/>
                <w:szCs w:val="21"/>
              </w:rPr>
              <w:t>杨家湾镇</w:t>
            </w:r>
          </w:p>
        </w:tc>
        <w:tc>
          <w:tcPr>
            <w:tcW w:w="114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cs="Times New Roman"/>
                <w:sz w:val="21"/>
                <w:szCs w:val="21"/>
              </w:rPr>
              <w:t>花园村</w:t>
            </w:r>
          </w:p>
        </w:tc>
        <w:tc>
          <w:tcPr>
            <w:tcW w:w="1146" w:type="pct"/>
            <w:tcBorders>
              <w:top w:val="single" w:color="auto" w:sz="4" w:space="0"/>
              <w:left w:val="nil"/>
              <w:bottom w:val="single" w:color="auto" w:sz="4" w:space="0"/>
              <w:right w:val="single" w:color="auto" w:sz="4" w:space="0"/>
            </w:tcBorders>
            <w:vAlign w:val="top"/>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cs="Times New Roman"/>
                <w:sz w:val="21"/>
                <w:szCs w:val="21"/>
              </w:rPr>
              <w:t>优先</w:t>
            </w:r>
          </w:p>
        </w:tc>
        <w:tc>
          <w:tcPr>
            <w:tcW w:w="1148" w:type="pct"/>
            <w:tcBorders>
              <w:top w:val="nil"/>
              <w:left w:val="single" w:color="auto" w:sz="4" w:space="0"/>
              <w:bottom w:val="single" w:color="auto" w:sz="4" w:space="0"/>
              <w:right w:val="single" w:color="auto" w:sz="4" w:space="0"/>
            </w:tcBorders>
            <w:vAlign w:val="top"/>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cs="Times New Roman"/>
                <w:sz w:val="21"/>
                <w:szCs w:val="21"/>
              </w:rPr>
              <w:t>近期</w:t>
            </w:r>
          </w:p>
        </w:tc>
      </w:tr>
      <w:tr>
        <w:tblPrEx>
          <w:tblCellMar>
            <w:top w:w="0" w:type="dxa"/>
            <w:left w:w="108" w:type="dxa"/>
            <w:bottom w:w="0" w:type="dxa"/>
            <w:right w:w="108" w:type="dxa"/>
          </w:tblCellMar>
        </w:tblPrEx>
        <w:trPr>
          <w:trHeight w:val="301" w:hRule="atLeast"/>
          <w:jc w:val="center"/>
        </w:trPr>
        <w:tc>
          <w:tcPr>
            <w:tcW w:w="410"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eastAsia="宋体" w:cs="Times New Roman"/>
                <w:sz w:val="21"/>
                <w:szCs w:val="21"/>
                <w:lang w:eastAsia="zh-CN"/>
              </w:rPr>
            </w:pPr>
            <w:r>
              <w:rPr>
                <w:rFonts w:hint="eastAsia" w:cs="Times New Roman"/>
                <w:sz w:val="21"/>
                <w:szCs w:val="21"/>
                <w:lang w:val="en-US" w:eastAsia="zh-CN"/>
              </w:rPr>
              <w:t>7</w:t>
            </w:r>
          </w:p>
        </w:tc>
        <w:tc>
          <w:tcPr>
            <w:tcW w:w="11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义门镇</w:t>
            </w:r>
          </w:p>
        </w:tc>
        <w:tc>
          <w:tcPr>
            <w:tcW w:w="114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刘家畔村</w:t>
            </w:r>
          </w:p>
        </w:tc>
        <w:tc>
          <w:tcPr>
            <w:tcW w:w="114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eastAsia" w:eastAsia="宋体" w:cs="Times New Roman"/>
                <w:sz w:val="21"/>
                <w:szCs w:val="21"/>
                <w:lang w:eastAsia="zh-CN"/>
              </w:rPr>
            </w:pPr>
            <w:r>
              <w:rPr>
                <w:rFonts w:hint="eastAsia" w:cs="Times New Roman"/>
                <w:sz w:val="21"/>
                <w:szCs w:val="21"/>
                <w:lang w:eastAsia="zh-CN"/>
              </w:rPr>
              <w:t>一般</w:t>
            </w:r>
          </w:p>
        </w:tc>
        <w:tc>
          <w:tcPr>
            <w:tcW w:w="1148"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lang w:eastAsia="zh-CN"/>
              </w:rPr>
              <w:t>远</w:t>
            </w:r>
            <w:r>
              <w:rPr>
                <w:rFonts w:cs="Times New Roman"/>
                <w:sz w:val="21"/>
                <w:szCs w:val="21"/>
              </w:rPr>
              <w:t>期</w:t>
            </w:r>
          </w:p>
        </w:tc>
      </w:tr>
      <w:tr>
        <w:tblPrEx>
          <w:tblCellMar>
            <w:top w:w="0" w:type="dxa"/>
            <w:left w:w="108" w:type="dxa"/>
            <w:bottom w:w="0" w:type="dxa"/>
            <w:right w:w="108" w:type="dxa"/>
          </w:tblCellMar>
        </w:tblPrEx>
        <w:trPr>
          <w:trHeight w:val="301" w:hRule="atLeast"/>
          <w:jc w:val="center"/>
        </w:trPr>
        <w:tc>
          <w:tcPr>
            <w:tcW w:w="410"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eastAsia="宋体" w:cs="Times New Roman"/>
                <w:sz w:val="21"/>
                <w:szCs w:val="21"/>
                <w:lang w:eastAsia="zh-CN"/>
              </w:rPr>
            </w:pPr>
            <w:r>
              <w:rPr>
                <w:rFonts w:hint="eastAsia" w:cs="Times New Roman"/>
                <w:sz w:val="21"/>
                <w:szCs w:val="21"/>
                <w:lang w:val="en-US" w:eastAsia="zh-CN"/>
              </w:rPr>
              <w:t>8</w:t>
            </w:r>
          </w:p>
        </w:tc>
        <w:tc>
          <w:tcPr>
            <w:tcW w:w="11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桥头镇</w:t>
            </w:r>
          </w:p>
        </w:tc>
        <w:tc>
          <w:tcPr>
            <w:tcW w:w="114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夏柳青村</w:t>
            </w:r>
          </w:p>
        </w:tc>
        <w:tc>
          <w:tcPr>
            <w:tcW w:w="114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优先</w:t>
            </w:r>
          </w:p>
        </w:tc>
        <w:tc>
          <w:tcPr>
            <w:tcW w:w="1148" w:type="pct"/>
            <w:tcBorders>
              <w:top w:val="nil"/>
              <w:left w:val="single" w:color="auto" w:sz="4" w:space="0"/>
              <w:bottom w:val="single" w:color="auto" w:sz="4" w:space="0"/>
              <w:right w:val="single" w:color="auto" w:sz="4" w:space="0"/>
            </w:tcBorders>
          </w:tcPr>
          <w:p>
            <w:pPr>
              <w:spacing w:line="240" w:lineRule="auto"/>
              <w:ind w:firstLine="0" w:firstLineChars="0"/>
              <w:jc w:val="center"/>
              <w:rPr>
                <w:rFonts w:cs="Times New Roman"/>
                <w:sz w:val="21"/>
                <w:szCs w:val="21"/>
              </w:rPr>
            </w:pPr>
            <w:r>
              <w:rPr>
                <w:rFonts w:hint="eastAsia" w:cs="Times New Roman"/>
                <w:sz w:val="21"/>
                <w:szCs w:val="21"/>
              </w:rPr>
              <w:t>近期</w:t>
            </w:r>
          </w:p>
        </w:tc>
      </w:tr>
      <w:tr>
        <w:tblPrEx>
          <w:tblCellMar>
            <w:top w:w="0" w:type="dxa"/>
            <w:left w:w="108" w:type="dxa"/>
            <w:bottom w:w="0" w:type="dxa"/>
            <w:right w:w="108" w:type="dxa"/>
          </w:tblCellMar>
        </w:tblPrEx>
        <w:trPr>
          <w:trHeight w:val="301" w:hRule="atLeast"/>
          <w:jc w:val="center"/>
        </w:trPr>
        <w:tc>
          <w:tcPr>
            <w:tcW w:w="410"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eastAsia="宋体" w:cs="Times New Roman"/>
                <w:sz w:val="21"/>
                <w:szCs w:val="21"/>
                <w:lang w:eastAsia="zh-CN"/>
              </w:rPr>
            </w:pPr>
            <w:r>
              <w:rPr>
                <w:rFonts w:hint="eastAsia" w:cs="Times New Roman"/>
                <w:sz w:val="21"/>
                <w:szCs w:val="21"/>
                <w:lang w:val="en-US" w:eastAsia="zh-CN"/>
              </w:rPr>
              <w:t>9</w:t>
            </w:r>
          </w:p>
        </w:tc>
        <w:tc>
          <w:tcPr>
            <w:tcW w:w="11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腰庄乡</w:t>
            </w:r>
          </w:p>
        </w:tc>
        <w:tc>
          <w:tcPr>
            <w:tcW w:w="114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腰庄村</w:t>
            </w:r>
          </w:p>
        </w:tc>
        <w:tc>
          <w:tcPr>
            <w:tcW w:w="114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一般</w:t>
            </w:r>
          </w:p>
        </w:tc>
        <w:tc>
          <w:tcPr>
            <w:tcW w:w="1148"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远期</w:t>
            </w:r>
          </w:p>
        </w:tc>
      </w:tr>
      <w:tr>
        <w:tblPrEx>
          <w:tblCellMar>
            <w:top w:w="0" w:type="dxa"/>
            <w:left w:w="108" w:type="dxa"/>
            <w:bottom w:w="0" w:type="dxa"/>
            <w:right w:w="108" w:type="dxa"/>
          </w:tblCellMar>
        </w:tblPrEx>
        <w:trPr>
          <w:trHeight w:val="301" w:hRule="atLeast"/>
          <w:jc w:val="center"/>
        </w:trPr>
        <w:tc>
          <w:tcPr>
            <w:tcW w:w="410"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eastAsia="宋体" w:cs="Times New Roman"/>
                <w:sz w:val="21"/>
                <w:szCs w:val="21"/>
                <w:lang w:eastAsia="zh-CN"/>
              </w:rPr>
            </w:pPr>
            <w:r>
              <w:rPr>
                <w:rFonts w:cs="Times New Roman"/>
                <w:sz w:val="21"/>
                <w:szCs w:val="21"/>
              </w:rPr>
              <w:t>1</w:t>
            </w:r>
            <w:r>
              <w:rPr>
                <w:rFonts w:hint="eastAsia" w:cs="Times New Roman"/>
                <w:sz w:val="21"/>
                <w:szCs w:val="21"/>
                <w:lang w:val="en-US" w:eastAsia="zh-CN"/>
              </w:rPr>
              <w:t>0</w:t>
            </w:r>
          </w:p>
        </w:tc>
        <w:tc>
          <w:tcPr>
            <w:tcW w:w="1147" w:type="pct"/>
            <w:tcBorders>
              <w:top w:val="single" w:color="auto" w:sz="4" w:space="0"/>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冯家川乡</w:t>
            </w:r>
          </w:p>
        </w:tc>
        <w:tc>
          <w:tcPr>
            <w:tcW w:w="1146" w:type="pct"/>
            <w:tcBorders>
              <w:top w:val="single" w:color="auto" w:sz="4" w:space="0"/>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冯家川</w:t>
            </w:r>
            <w:r>
              <w:rPr>
                <w:rFonts w:cs="Times New Roman"/>
                <w:sz w:val="21"/>
                <w:szCs w:val="21"/>
              </w:rPr>
              <w:t>村</w:t>
            </w:r>
          </w:p>
        </w:tc>
        <w:tc>
          <w:tcPr>
            <w:tcW w:w="1146" w:type="pct"/>
            <w:tcBorders>
              <w:top w:val="single" w:color="auto" w:sz="4" w:space="0"/>
              <w:left w:val="nil"/>
              <w:bottom w:val="single" w:color="auto" w:sz="4" w:space="0"/>
              <w:right w:val="single" w:color="auto" w:sz="4" w:space="0"/>
            </w:tcBorders>
          </w:tcPr>
          <w:p>
            <w:pPr>
              <w:spacing w:line="240" w:lineRule="auto"/>
              <w:ind w:firstLine="0" w:firstLineChars="0"/>
              <w:jc w:val="center"/>
              <w:rPr>
                <w:rFonts w:cs="Times New Roman"/>
                <w:sz w:val="21"/>
                <w:szCs w:val="21"/>
              </w:rPr>
            </w:pPr>
            <w:r>
              <w:rPr>
                <w:rFonts w:hint="eastAsia" w:cs="Times New Roman"/>
                <w:sz w:val="21"/>
                <w:szCs w:val="21"/>
              </w:rPr>
              <w:t>一般</w:t>
            </w:r>
          </w:p>
        </w:tc>
        <w:tc>
          <w:tcPr>
            <w:tcW w:w="114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远期</w:t>
            </w:r>
          </w:p>
        </w:tc>
      </w:tr>
      <w:tr>
        <w:tblPrEx>
          <w:tblCellMar>
            <w:top w:w="0" w:type="dxa"/>
            <w:left w:w="108" w:type="dxa"/>
            <w:bottom w:w="0" w:type="dxa"/>
            <w:right w:w="108" w:type="dxa"/>
          </w:tblCellMar>
        </w:tblPrEx>
        <w:trPr>
          <w:trHeight w:val="301" w:hRule="atLeast"/>
          <w:jc w:val="center"/>
        </w:trPr>
        <w:tc>
          <w:tcPr>
            <w:tcW w:w="410"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eastAsia="宋体" w:cs="Times New Roman"/>
                <w:sz w:val="21"/>
                <w:szCs w:val="21"/>
                <w:lang w:eastAsia="zh-CN"/>
              </w:rPr>
            </w:pPr>
            <w:r>
              <w:rPr>
                <w:rFonts w:cs="Times New Roman"/>
                <w:sz w:val="21"/>
                <w:szCs w:val="21"/>
              </w:rPr>
              <w:t>1</w:t>
            </w:r>
            <w:r>
              <w:rPr>
                <w:rFonts w:hint="eastAsia" w:cs="Times New Roman"/>
                <w:sz w:val="21"/>
                <w:szCs w:val="21"/>
                <w:lang w:val="en-US" w:eastAsia="zh-CN"/>
              </w:rPr>
              <w:t>1</w:t>
            </w:r>
          </w:p>
        </w:tc>
        <w:tc>
          <w:tcPr>
            <w:tcW w:w="1147" w:type="pct"/>
            <w:tcBorders>
              <w:top w:val="single" w:color="auto" w:sz="4" w:space="0"/>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冯家川乡</w:t>
            </w:r>
          </w:p>
        </w:tc>
        <w:tc>
          <w:tcPr>
            <w:tcW w:w="1146" w:type="pct"/>
            <w:tcBorders>
              <w:top w:val="single" w:color="auto" w:sz="4" w:space="0"/>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神山村</w:t>
            </w:r>
          </w:p>
        </w:tc>
        <w:tc>
          <w:tcPr>
            <w:tcW w:w="114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一般</w:t>
            </w:r>
          </w:p>
        </w:tc>
        <w:tc>
          <w:tcPr>
            <w:tcW w:w="114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远期</w:t>
            </w:r>
          </w:p>
        </w:tc>
      </w:tr>
    </w:tbl>
    <w:p>
      <w:pPr>
        <w:spacing w:line="240" w:lineRule="auto"/>
        <w:ind w:firstLine="420"/>
        <w:rPr>
          <w:rFonts w:cs="Times New Roman"/>
          <w:sz w:val="21"/>
        </w:rPr>
      </w:pPr>
      <w:r>
        <w:rPr>
          <w:rFonts w:cs="Times New Roman"/>
          <w:sz w:val="21"/>
        </w:rPr>
        <w:t>备注：优先等级划分过程详见第4章。</w:t>
      </w:r>
    </w:p>
    <w:p>
      <w:pPr>
        <w:ind w:firstLine="480"/>
        <w:rPr>
          <w:rFonts w:cs="Times New Roman"/>
        </w:rPr>
      </w:pPr>
      <w:r>
        <w:rPr>
          <w:rFonts w:cs="Times New Roman"/>
        </w:rPr>
        <w:t>基于上述开展目标，202</w:t>
      </w:r>
      <w:r>
        <w:rPr>
          <w:rFonts w:hint="eastAsia" w:cs="Times New Roman"/>
          <w:lang w:val="en-US" w:eastAsia="zh-CN"/>
        </w:rPr>
        <w:t>1</w:t>
      </w:r>
      <w:r>
        <w:rPr>
          <w:rFonts w:cs="Times New Roman"/>
        </w:rPr>
        <w:t>-2022年可新完成污水治理村庄</w:t>
      </w:r>
      <w:r>
        <w:rPr>
          <w:rFonts w:hint="eastAsia" w:cs="Times New Roman"/>
          <w:lang w:val="en-US" w:eastAsia="zh-CN"/>
        </w:rPr>
        <w:t>5</w:t>
      </w:r>
      <w:r>
        <w:rPr>
          <w:rFonts w:cs="Times New Roman"/>
        </w:rPr>
        <w:t>个，2023-2025年可完成污水治理村庄</w:t>
      </w:r>
      <w:r>
        <w:rPr>
          <w:rFonts w:hint="eastAsia" w:cs="Times New Roman"/>
          <w:lang w:val="en-US" w:eastAsia="zh-CN"/>
        </w:rPr>
        <w:t>6</w:t>
      </w:r>
      <w:r>
        <w:rPr>
          <w:rFonts w:cs="Times New Roman"/>
        </w:rPr>
        <w:t>个。农村生活污水治理作为一项重要的农村环境综合整治任务，可优先将本次规划治理的1</w:t>
      </w:r>
      <w:r>
        <w:rPr>
          <w:rFonts w:hint="eastAsia" w:cs="Times New Roman"/>
          <w:lang w:val="en-US" w:eastAsia="zh-CN"/>
        </w:rPr>
        <w:t>1</w:t>
      </w:r>
      <w:r>
        <w:rPr>
          <w:rFonts w:cs="Times New Roman"/>
        </w:rPr>
        <w:t>个村庄纳入到农村环境综合整治的村庄中，同步开展污水治理以及垃圾治理等相关的农村环境整治工作。</w:t>
      </w:r>
    </w:p>
    <w:p>
      <w:pPr>
        <w:pStyle w:val="5"/>
      </w:pPr>
      <w:bookmarkStart w:id="20" w:name="_Toc43848804"/>
      <w:r>
        <w:t>2 区域概况</w:t>
      </w:r>
      <w:bookmarkEnd w:id="19"/>
      <w:bookmarkEnd w:id="20"/>
    </w:p>
    <w:p>
      <w:pPr>
        <w:pStyle w:val="7"/>
        <w:rPr>
          <w:rFonts w:ascii="Times New Roman" w:hAnsi="Times New Roman" w:cs="Times New Roman"/>
        </w:rPr>
      </w:pPr>
      <w:bookmarkStart w:id="21" w:name="_Toc6055970"/>
      <w:bookmarkStart w:id="22" w:name="_Toc43848805"/>
      <w:r>
        <w:rPr>
          <w:rFonts w:ascii="Times New Roman" w:hAnsi="Times New Roman" w:cs="Times New Roman"/>
        </w:rPr>
        <w:t>2.1 自然环境</w:t>
      </w:r>
      <w:bookmarkEnd w:id="21"/>
      <w:bookmarkEnd w:id="22"/>
    </w:p>
    <w:p>
      <w:pPr>
        <w:pStyle w:val="8"/>
        <w:rPr>
          <w:rFonts w:ascii="Times New Roman" w:hAnsi="Times New Roman" w:cs="Times New Roman"/>
        </w:rPr>
      </w:pPr>
      <w:r>
        <w:rPr>
          <w:rFonts w:ascii="Times New Roman" w:hAnsi="Times New Roman" w:cs="Times New Roman"/>
        </w:rPr>
        <w:t>2.1.1 地理位置</w:t>
      </w:r>
    </w:p>
    <w:p>
      <w:pPr>
        <w:ind w:firstLine="480"/>
        <w:rPr>
          <w:rFonts w:cs="Times New Roman"/>
          <w:shd w:val="clear" w:color="auto" w:fill="FFFFFF"/>
        </w:rPr>
      </w:pPr>
      <w:r>
        <w:rPr>
          <w:rFonts w:cs="Times New Roman"/>
        </w:rPr>
        <w:t>保德县位于山西省西北部忻州地区，地处吕梁山脉北段西块，黄土高原东部边缘地带，地势东高西低。东部木兰圪塔为最高峰，海拔1585m，西南部冯家川村枣树滩为最低点，海拔780m，东部土石地区，宜林宜牧。中部黄土丘陵区，地形复杂。山河相间，平行排列，源东流西，注入黄河。东与岢岚县为邻，西与陕西府谷县隔黄河相望，北与河曲县接壤，南与兴县毗连。地理坐标为东经110°56′～110°16′，北纬38°38′～39°6′。保德县地理区位见附图1。</w:t>
      </w:r>
    </w:p>
    <w:p>
      <w:pPr>
        <w:pStyle w:val="8"/>
        <w:spacing w:line="360" w:lineRule="auto"/>
        <w:rPr>
          <w:rFonts w:ascii="Times New Roman" w:hAnsi="Times New Roman" w:cs="Times New Roman"/>
        </w:rPr>
      </w:pPr>
      <w:r>
        <w:rPr>
          <w:rFonts w:ascii="Times New Roman" w:hAnsi="Times New Roman" w:cs="Times New Roman"/>
        </w:rPr>
        <w:t>2.1.2 地形地貌</w:t>
      </w:r>
    </w:p>
    <w:p>
      <w:pPr>
        <w:adjustRightInd w:val="0"/>
        <w:snapToGrid w:val="0"/>
        <w:spacing w:line="360" w:lineRule="auto"/>
        <w:ind w:firstLine="480"/>
        <w:rPr>
          <w:rFonts w:cs="Times New Roman"/>
        </w:rPr>
      </w:pPr>
      <w:r>
        <w:rPr>
          <w:rFonts w:cs="Times New Roman"/>
          <w:szCs w:val="24"/>
        </w:rPr>
        <w:t>保德县全境系黄河流域中部黄土高原，属沟壑区。地势东高西低，成一面斜坡。东部高低堎、山神庙圪旦、井油山一线高达海拔1400米以上；西部黄河沿岸仅有850米左右。地表面多为黄沙土覆盖，因为长期雨水冲刷，形成了支离破碎的梁、峁、沟、壑复杂地形。全县山河相间，平行排列，源东流西，注入黄河。植被非常稀少，水土流失十分严重。每年约有473万立方米泥沙被洪水冲走。全县大致可分三个地貌类型。保德县遥感影像见附图2，保德县地形地貌见附图3。</w:t>
      </w:r>
    </w:p>
    <w:p>
      <w:pPr>
        <w:adjustRightInd w:val="0"/>
        <w:snapToGrid w:val="0"/>
        <w:spacing w:line="360" w:lineRule="auto"/>
        <w:ind w:firstLine="480"/>
        <w:rPr>
          <w:rFonts w:cs="Times New Roman"/>
        </w:rPr>
      </w:pPr>
      <w:r>
        <w:rPr>
          <w:rFonts w:cs="Times New Roman"/>
          <w:szCs w:val="24"/>
        </w:rPr>
        <w:t>（1）土石山地</w:t>
      </w:r>
    </w:p>
    <w:p>
      <w:pPr>
        <w:adjustRightInd w:val="0"/>
        <w:snapToGrid w:val="0"/>
        <w:spacing w:line="360" w:lineRule="auto"/>
        <w:ind w:firstLine="480"/>
        <w:rPr>
          <w:rFonts w:cs="Times New Roman"/>
        </w:rPr>
      </w:pPr>
      <w:r>
        <w:rPr>
          <w:rFonts w:cs="Times New Roman"/>
          <w:szCs w:val="24"/>
        </w:rPr>
        <w:t>主要分布在海拔1250-1400米左右的县境东部，约占全县总面积的31%。由于土质山地与其四周丘陵的坡度转折不明显，所以，在这个类型内只分“低山”一个小地貌单元。其中较高的山峰有6座，由北向南。</w:t>
      </w:r>
    </w:p>
    <w:p>
      <w:pPr>
        <w:adjustRightInd w:val="0"/>
        <w:snapToGrid w:val="0"/>
        <w:spacing w:line="360" w:lineRule="auto"/>
        <w:ind w:firstLine="480"/>
        <w:rPr>
          <w:rFonts w:cs="Times New Roman"/>
        </w:rPr>
      </w:pPr>
      <w:r>
        <w:rPr>
          <w:rFonts w:cs="Times New Roman"/>
          <w:szCs w:val="24"/>
        </w:rPr>
        <w:t>（2）黄山丘陵</w:t>
      </w:r>
    </w:p>
    <w:p>
      <w:pPr>
        <w:adjustRightInd w:val="0"/>
        <w:snapToGrid w:val="0"/>
        <w:spacing w:line="360" w:lineRule="auto"/>
        <w:ind w:firstLine="480"/>
        <w:rPr>
          <w:rFonts w:cs="Times New Roman"/>
        </w:rPr>
      </w:pPr>
      <w:r>
        <w:rPr>
          <w:rFonts w:cs="Times New Roman"/>
          <w:szCs w:val="24"/>
        </w:rPr>
        <w:t>分布在海拔1000-1250米范围内的中部广大地区，约占全县总面积的59%。由于地形倾斜，植被稀少，黄土岩性软，在风雨的侵蚀作用下，造成了复杂的沟壑系统，可分为梁地、峁地、沟壑、沟平地等小地貌。</w:t>
      </w:r>
    </w:p>
    <w:p>
      <w:pPr>
        <w:adjustRightInd w:val="0"/>
        <w:snapToGrid w:val="0"/>
        <w:spacing w:line="360" w:lineRule="auto"/>
        <w:ind w:firstLine="480"/>
        <w:rPr>
          <w:rFonts w:cs="Times New Roman"/>
        </w:rPr>
      </w:pPr>
      <w:r>
        <w:rPr>
          <w:rFonts w:cs="Times New Roman"/>
          <w:szCs w:val="24"/>
        </w:rPr>
        <w:t>（3）河滩阶地</w:t>
      </w:r>
    </w:p>
    <w:p>
      <w:pPr>
        <w:ind w:firstLine="480"/>
        <w:rPr>
          <w:rFonts w:eastAsia="黑体" w:cs="Times New Roman"/>
          <w:b/>
          <w:bCs/>
        </w:rPr>
      </w:pPr>
      <w:r>
        <w:rPr>
          <w:rFonts w:cs="Times New Roman"/>
          <w:szCs w:val="24"/>
        </w:rPr>
        <w:t>主要分布在海拔800米左右的县境西部黄河沿岸及其支流的河谷地带，约占全县面积的3%。是全县最好的农田。</w:t>
      </w:r>
    </w:p>
    <w:p>
      <w:pPr>
        <w:pStyle w:val="16"/>
        <w:spacing w:line="480" w:lineRule="exact"/>
        <w:ind w:firstLine="0" w:firstLineChars="0"/>
        <w:rPr>
          <w:rFonts w:eastAsia="黑体" w:cs="Times New Roman"/>
          <w:b w:val="0"/>
          <w:bCs/>
        </w:rPr>
      </w:pPr>
    </w:p>
    <w:p>
      <w:pPr>
        <w:pStyle w:val="8"/>
        <w:rPr>
          <w:rFonts w:ascii="Times New Roman" w:hAnsi="Times New Roman" w:cs="Times New Roman"/>
        </w:rPr>
      </w:pPr>
      <w:r>
        <w:rPr>
          <w:rFonts w:ascii="Times New Roman" w:hAnsi="Times New Roman" w:cs="Times New Roman"/>
        </w:rPr>
        <w:t>2.1.3 气候特征</w:t>
      </w:r>
    </w:p>
    <w:p>
      <w:pPr>
        <w:ind w:firstLine="480"/>
        <w:rPr>
          <w:rFonts w:cs="Times New Roman"/>
        </w:rPr>
      </w:pPr>
      <w:r>
        <w:rPr>
          <w:rFonts w:cs="Times New Roman"/>
        </w:rPr>
        <w:t>本区属大陆性气候，气候干燥，年气温变化大，昼夜温差大。据保德县气象站（经度111°05′E，纬度39°01′N，观测场海拔高度594.4m）1989～2008年20年气候资料统计结果，本区年平均气温10.1℃，极端最低气温-25.8℃（2002年12月27日），极端最高气温40.9℃（2005年6月22日）。年最大日降水量为399.5mm，降水量集中在6、7、8、9四个月，占全年降雨量的75.79%；最大日降水168.6mm；多年平均蒸发量为2085.3mm，是降雨量的5.22倍；日照时数2479.8小时/年；一年中静风频率最高为33.53%，其次是NE风，频率为11.63%；年平均风速为2.0m/s，4月份平均风速最大为2.9m/s，1月份平均风速较小为1.2m/s，最大风速为20.0m/s。</w:t>
      </w:r>
    </w:p>
    <w:p>
      <w:pPr>
        <w:pStyle w:val="8"/>
        <w:rPr>
          <w:rFonts w:ascii="Times New Roman" w:hAnsi="Times New Roman" w:cs="Times New Roman"/>
        </w:rPr>
      </w:pPr>
      <w:r>
        <w:rPr>
          <w:rFonts w:ascii="Times New Roman" w:hAnsi="Times New Roman" w:cs="Times New Roman"/>
        </w:rPr>
        <w:t>2.1.4 水文水资源</w:t>
      </w:r>
    </w:p>
    <w:p>
      <w:pPr>
        <w:ind w:firstLine="482"/>
        <w:rPr>
          <w:rFonts w:cs="Times New Roman"/>
          <w:b/>
          <w:bCs/>
        </w:rPr>
      </w:pPr>
      <w:r>
        <w:rPr>
          <w:rFonts w:cs="Times New Roman"/>
          <w:b/>
          <w:bCs/>
        </w:rPr>
        <w:t>1、地表水</w:t>
      </w:r>
    </w:p>
    <w:p>
      <w:pPr>
        <w:ind w:firstLine="480"/>
        <w:rPr>
          <w:rFonts w:cs="Times New Roman"/>
        </w:rPr>
      </w:pPr>
      <w:r>
        <w:rPr>
          <w:rFonts w:cs="Times New Roman"/>
        </w:rPr>
        <w:t>（1）地表水</w:t>
      </w:r>
    </w:p>
    <w:p>
      <w:pPr>
        <w:ind w:firstLine="480"/>
        <w:rPr>
          <w:rFonts w:cs="Times New Roman"/>
        </w:rPr>
      </w:pPr>
      <w:r>
        <w:rPr>
          <w:rFonts w:cs="Times New Roman"/>
        </w:rPr>
        <w:t>保德县境内有大小沟壑38328条，其中10km以上河沟有14条，5km以上的有30条，1km以上的有1044条，1km以下的有37240条。这些河流总流域面积3222.3km</w:t>
      </w:r>
      <w:r>
        <w:rPr>
          <w:rFonts w:cs="Times New Roman"/>
          <w:vertAlign w:val="superscript"/>
        </w:rPr>
        <w:t>2</w:t>
      </w:r>
      <w:r>
        <w:rPr>
          <w:rFonts w:cs="Times New Roman"/>
        </w:rPr>
        <w:t>，在本县境内流域面积997.5km</w:t>
      </w:r>
      <w:r>
        <w:rPr>
          <w:rFonts w:cs="Times New Roman"/>
          <w:vertAlign w:val="superscript"/>
        </w:rPr>
        <w:t>2</w:t>
      </w:r>
      <w:r>
        <w:rPr>
          <w:rFonts w:cs="Times New Roman"/>
        </w:rPr>
        <w:t>。其中，县域内主要的地表水体系为黄河和朱家川河。黄河为全县境内主要河流，由河曲县流经保德县天桥村入境，南至冯家川村出境，继流兴县，境内全长60km。朱家川河是流经县内的黄河一级支流，北支发源于朔县西南沟，南支发源于芦芽山北麓，南北两支于三岔汇合后向西流至保德前合村汇入黄河。</w:t>
      </w:r>
    </w:p>
    <w:p>
      <w:pPr>
        <w:ind w:firstLine="480"/>
        <w:rPr>
          <w:rFonts w:cs="Times New Roman"/>
        </w:rPr>
      </w:pPr>
      <w:r>
        <w:rPr>
          <w:rFonts w:cs="Times New Roman"/>
        </w:rPr>
        <w:t>保德县地表水系分布见附图4。</w:t>
      </w:r>
    </w:p>
    <w:p>
      <w:pPr>
        <w:ind w:firstLine="482"/>
        <w:rPr>
          <w:rFonts w:cs="Times New Roman"/>
          <w:b/>
          <w:bCs/>
        </w:rPr>
      </w:pPr>
      <w:r>
        <w:rPr>
          <w:rFonts w:cs="Times New Roman"/>
          <w:b/>
          <w:bCs/>
        </w:rPr>
        <w:t>2、地下水</w:t>
      </w:r>
    </w:p>
    <w:p>
      <w:pPr>
        <w:ind w:firstLine="480"/>
        <w:rPr>
          <w:rFonts w:cs="Times New Roman"/>
        </w:rPr>
      </w:pPr>
      <w:r>
        <w:rPr>
          <w:rFonts w:cs="Times New Roman"/>
        </w:rPr>
        <w:t>根据区域地层含水介质类型，可划分为碳酸盐岩岩溶裂隙含水岩组、碎屑岩类夹碳酸岩类裂隙含水岩组、碎屑岩类裂隙含水岩组及松散岩类孔隙含水岩组四大类，分述如下：</w:t>
      </w:r>
    </w:p>
    <w:p>
      <w:pPr>
        <w:ind w:firstLine="480"/>
        <w:rPr>
          <w:rFonts w:cs="Times New Roman"/>
        </w:rPr>
      </w:pPr>
      <w:r>
        <w:rPr>
          <w:rFonts w:cs="Times New Roman"/>
        </w:rPr>
        <w:t>（1）碳酸盐岩岩溶裂隙含水岩组</w:t>
      </w:r>
    </w:p>
    <w:p>
      <w:pPr>
        <w:ind w:firstLine="480"/>
        <w:rPr>
          <w:rFonts w:cs="Times New Roman"/>
        </w:rPr>
      </w:pPr>
      <w:r>
        <w:rPr>
          <w:rFonts w:cs="Times New Roman"/>
        </w:rPr>
        <w:t>寒武-奥陶系灰岩广泛出露于煤田东部的山区，地表灰岩裂隙发育，易接受大气降水的补给。煤田内部深埋地下，构成了煤系的基盘。寒武系底部页岩普遍发育，具有区域隔水作用，中、上寒武系和奥陶系以灰岩、白云质灰岩、白云岩为主，不仅裂隙发育，而且还具有岩溶孔洞和洞穴，空间上岩溶发育具有不均一性，为不均一富水含水层。</w:t>
      </w:r>
    </w:p>
    <w:p>
      <w:pPr>
        <w:ind w:firstLine="480"/>
        <w:rPr>
          <w:rFonts w:cs="Times New Roman"/>
        </w:rPr>
      </w:pPr>
      <w:r>
        <w:rPr>
          <w:rFonts w:cs="Times New Roman"/>
        </w:rPr>
        <w:t>奥陶系特别是中奥陶质纯灰岩是区内主要富水岩层。一般泉水流量1.8m</w:t>
      </w:r>
      <w:r>
        <w:rPr>
          <w:rFonts w:cs="Times New Roman"/>
          <w:vertAlign w:val="superscript"/>
        </w:rPr>
        <w:t>3</w:t>
      </w:r>
      <w:r>
        <w:rPr>
          <w:rFonts w:cs="Times New Roman"/>
        </w:rPr>
        <w:t>/h以上，如河曲县暗子沟泉，流量为421.2m</w:t>
      </w:r>
      <w:r>
        <w:rPr>
          <w:rFonts w:cs="Times New Roman"/>
          <w:vertAlign w:val="superscript"/>
        </w:rPr>
        <w:t>3</w:t>
      </w:r>
      <w:r>
        <w:rPr>
          <w:rFonts w:cs="Times New Roman"/>
        </w:rPr>
        <w:t>/h。在补给区单位涌水量一般为0.28L/s•m，在排泄迳流区钻孔单位涌水量大，如位于黄河河谷中的保德县天桥电站，钻孔单位涌水量达7L/s•m，水位标高808.07m，岩溶地下水类型一般为重碳酸或重碳酸、硫酸盐水，矿化度小于1.00g/L。</w:t>
      </w:r>
    </w:p>
    <w:p>
      <w:pPr>
        <w:ind w:firstLine="480"/>
        <w:rPr>
          <w:rFonts w:cs="Times New Roman"/>
        </w:rPr>
      </w:pPr>
      <w:r>
        <w:rPr>
          <w:rFonts w:cs="Times New Roman"/>
        </w:rPr>
        <w:t>（2）碎屑岩夹碳酸岩裂隙含水岩组</w:t>
      </w:r>
    </w:p>
    <w:p>
      <w:pPr>
        <w:ind w:firstLine="480"/>
        <w:rPr>
          <w:rFonts w:cs="Times New Roman"/>
        </w:rPr>
      </w:pPr>
      <w:r>
        <w:rPr>
          <w:rFonts w:cs="Times New Roman"/>
        </w:rPr>
        <w:t>由山西组、太原组砂岩、泥岩及煤层组成，太原组夹2~3层石灰岩。砂岩裂隙含水层一般地区单位涌水量小于1m</w:t>
      </w:r>
      <w:r>
        <w:rPr>
          <w:rFonts w:cs="Times New Roman"/>
          <w:vertAlign w:val="superscript"/>
        </w:rPr>
        <w:t>3</w:t>
      </w:r>
      <w:r>
        <w:rPr>
          <w:rFonts w:cs="Times New Roman"/>
        </w:rPr>
        <w:t>/h•m，泉水流量小于5m</w:t>
      </w:r>
      <w:r>
        <w:rPr>
          <w:rFonts w:cs="Times New Roman"/>
          <w:vertAlign w:val="superscript"/>
        </w:rPr>
        <w:t>3</w:t>
      </w:r>
      <w:r>
        <w:rPr>
          <w:rFonts w:cs="Times New Roman"/>
        </w:rPr>
        <w:t>/h，属弱含水层。太原组灰岩富水性强弱取决于裂隙及岩溶发育程度，它不仅受构造条件限制，而且与埋藏条件密切相关，单位涌水量0.003~3.85m3/h•m。</w:t>
      </w:r>
    </w:p>
    <w:p>
      <w:pPr>
        <w:ind w:firstLine="480"/>
        <w:rPr>
          <w:rFonts w:cs="Times New Roman"/>
        </w:rPr>
      </w:pPr>
      <w:r>
        <w:rPr>
          <w:rFonts w:cs="Times New Roman"/>
        </w:rPr>
        <w:t>（3）碎屑岩类裂隙含水岩组</w:t>
      </w:r>
    </w:p>
    <w:p>
      <w:pPr>
        <w:ind w:firstLine="480"/>
        <w:rPr>
          <w:rFonts w:cs="Times New Roman"/>
        </w:rPr>
      </w:pPr>
      <w:r>
        <w:rPr>
          <w:rFonts w:cs="Times New Roman"/>
        </w:rPr>
        <w:t>由三叠系、二叠系一套粒级不同的粗、中、细、粉砂岩及泥岩组成。砂岩之间发育的厚层泥质岩类具有隔水作用，不利于大气降水入渗补给。泉水流量一般小于5m</w:t>
      </w:r>
      <w:r>
        <w:rPr>
          <w:rFonts w:cs="Times New Roman"/>
          <w:vertAlign w:val="superscript"/>
        </w:rPr>
        <w:t>3</w:t>
      </w:r>
      <w:r>
        <w:rPr>
          <w:rFonts w:cs="Times New Roman"/>
        </w:rPr>
        <w:t>/h，钻孔单位涌水量多小于1m</w:t>
      </w:r>
      <w:r>
        <w:rPr>
          <w:rFonts w:cs="Times New Roman"/>
          <w:vertAlign w:val="superscript"/>
        </w:rPr>
        <w:t>3</w:t>
      </w:r>
      <w:r>
        <w:rPr>
          <w:rFonts w:cs="Times New Roman"/>
        </w:rPr>
        <w:t>/h•m，富水性弱。但在基岩覆盖较薄的河谷区，大气降水入渗条件好，厚层砂岩泉水流量大，富水性中等。如石楼下庄河泉水出露地层为刘家沟组砂岩，泉水流量达50m3/h。砂岩裂隙水属潜水或微承压水，水质类型一般为HCO</w:t>
      </w:r>
      <w:r>
        <w:rPr>
          <w:rFonts w:cs="Times New Roman"/>
          <w:vertAlign w:val="subscript"/>
        </w:rPr>
        <w:t>3</w:t>
      </w:r>
      <w:r>
        <w:rPr>
          <w:rFonts w:cs="Times New Roman"/>
        </w:rPr>
        <w:t>-Ca﹒Mg型，矿化度小于0.5g/L。</w:t>
      </w:r>
    </w:p>
    <w:p>
      <w:pPr>
        <w:ind w:firstLine="480"/>
        <w:rPr>
          <w:rFonts w:cs="Times New Roman"/>
        </w:rPr>
      </w:pPr>
      <w:r>
        <w:rPr>
          <w:rFonts w:cs="Times New Roman"/>
        </w:rPr>
        <w:t>（4）松散岩类孔隙含水岩组</w:t>
      </w:r>
    </w:p>
    <w:p>
      <w:pPr>
        <w:ind w:firstLine="480"/>
        <w:rPr>
          <w:rFonts w:cs="Times New Roman"/>
        </w:rPr>
      </w:pPr>
      <w:r>
        <w:rPr>
          <w:rFonts w:cs="Times New Roman"/>
        </w:rPr>
        <w:t>①第四系</w:t>
      </w:r>
    </w:p>
    <w:p>
      <w:pPr>
        <w:ind w:firstLine="480"/>
        <w:rPr>
          <w:rFonts w:cs="Times New Roman"/>
        </w:rPr>
      </w:pPr>
      <w:r>
        <w:rPr>
          <w:rFonts w:cs="Times New Roman"/>
        </w:rPr>
        <w:t>广泛分布于垣、梁、峁丘陵区，覆于基岩或红土之上的中、上更新世黄土，由细粒的粉砂质粉土组成，虽然黄土孔隙较大，垂直裂隙也较发育，但受当地降水量小，蒸发量较大等自然条件制约，因此黄土的含水极弱。呈条带状分布于较大沟谷的全新统冲积、洪积砂砾石含水层，属补给条件好的汇水地段，易接受大气降水补给，同时还接受河谷两侧出露的基岩泉水的补给，富水性较好。如三川河河谷一带，钻孔单位涌水量2~10m3/h•m，地下水一般为潜水。水质类型HCO3-Ca•Mg型，矿化度小于1g/L。</w:t>
      </w:r>
    </w:p>
    <w:p>
      <w:pPr>
        <w:ind w:firstLine="480"/>
        <w:rPr>
          <w:rFonts w:cs="Times New Roman"/>
        </w:rPr>
      </w:pPr>
      <w:r>
        <w:rPr>
          <w:rFonts w:cs="Times New Roman"/>
        </w:rPr>
        <w:t>②第三系上新统：</w:t>
      </w:r>
    </w:p>
    <w:p>
      <w:pPr>
        <w:ind w:firstLine="480"/>
        <w:rPr>
          <w:rFonts w:cs="Times New Roman"/>
        </w:rPr>
      </w:pPr>
      <w:r>
        <w:rPr>
          <w:rFonts w:cs="Times New Roman"/>
        </w:rPr>
        <w:t>保德县广泛分布，由褐红色粉质粘土，砂砾石层组成。粉质粘土结构致密，含水性弱，具有一定的隔水作用。粘土底部砂砾石层，半胶结，厚0~20m，含孔隙、裂隙，由于下部泥岩的隔水作用，在沟谷切割处多有泉水出露，流量5~50m3/h不等。</w:t>
      </w:r>
    </w:p>
    <w:p>
      <w:pPr>
        <w:ind w:firstLine="482"/>
        <w:rPr>
          <w:rFonts w:cs="Times New Roman"/>
          <w:b/>
        </w:rPr>
      </w:pPr>
      <w:r>
        <w:rPr>
          <w:rFonts w:cs="Times New Roman"/>
          <w:b/>
        </w:rPr>
        <w:t>3、天桥泉域</w:t>
      </w:r>
    </w:p>
    <w:p>
      <w:pPr>
        <w:ind w:firstLine="480"/>
        <w:rPr>
          <w:rFonts w:cs="Times New Roman"/>
        </w:rPr>
      </w:pPr>
      <w:r>
        <w:rPr>
          <w:rFonts w:cs="Times New Roman"/>
        </w:rPr>
        <w:t>（1）泉域概况</w:t>
      </w:r>
    </w:p>
    <w:p>
      <w:pPr>
        <w:ind w:firstLine="480"/>
        <w:rPr>
          <w:rFonts w:cs="Times New Roman"/>
        </w:rPr>
      </w:pPr>
      <w:r>
        <w:rPr>
          <w:rFonts w:cs="Times New Roman"/>
        </w:rPr>
        <w:t>天桥泉域岩溶水出露于黄河东岸，可见泉水主要有四处：天桥大坝南孙家沟至铁匠铺一带的天桥泉，流量3.0m3/s；铺沟泉，流量0.5m3/s；龙口地区，泉水流量0.52m3/s；老牛湾地区，流量2.49m3/s。泉域出露总量为6.51m3/s，大部分于黄河水下溢出。</w:t>
      </w:r>
    </w:p>
    <w:p>
      <w:pPr>
        <w:ind w:firstLine="480"/>
        <w:rPr>
          <w:rFonts w:cs="Times New Roman"/>
        </w:rPr>
      </w:pPr>
      <w:r>
        <w:rPr>
          <w:rFonts w:cs="Times New Roman"/>
        </w:rPr>
        <w:t>岩溶水水质类型为HCO3-Ca•Mg型水，总硬度小于270mg/L，矿化度小于500mg/l，pH值7.3~8.0，属水质较好的地下水。</w:t>
      </w:r>
    </w:p>
    <w:p>
      <w:pPr>
        <w:ind w:firstLine="480"/>
        <w:rPr>
          <w:rFonts w:cs="Times New Roman"/>
        </w:rPr>
      </w:pPr>
      <w:r>
        <w:rPr>
          <w:rFonts w:cs="Times New Roman"/>
        </w:rPr>
        <w:t>天桥泉域分布于晋、陕、蒙接壤地区黄河谷地两岸，南北长200km，东西宽100km，辖山西省河曲县、偏关县、保德县、神池县、五寨县、岢岚县、兴县；内蒙古自治区准格尔旗、清水河县；陕西省府谷县、神木县，跨三省（区）11个县（旗）。</w:t>
      </w:r>
    </w:p>
    <w:p>
      <w:pPr>
        <w:ind w:firstLine="480"/>
        <w:rPr>
          <w:rFonts w:cs="Times New Roman"/>
        </w:rPr>
      </w:pPr>
      <w:r>
        <w:rPr>
          <w:rFonts w:cs="Times New Roman"/>
        </w:rPr>
        <w:t>天桥泉域位于吕梁山西侧晋陕黄土高原北部，地势东高西低，东部管涔山和芦芽山，海拔1500~2000m ，最高点2783.8m，中西部以中低山和丘陵为主，沟谷纵横，地形破碎，地势由东向西缓倾。黄河流经岩溶地层的河谷多为峡谷，受侵蚀切割，形成北西或东西向沟壑，地表黄土为梁峁地形，西侧冲沟呈树枝状，切人基岩，沟深、床窄、坡陡。洪水泄流湍急，植被稀少，水土流失严重。</w:t>
      </w:r>
    </w:p>
    <w:p>
      <w:pPr>
        <w:ind w:firstLine="480"/>
        <w:rPr>
          <w:rFonts w:cs="Times New Roman"/>
        </w:rPr>
      </w:pPr>
      <w:r>
        <w:rPr>
          <w:rFonts w:cs="Times New Roman"/>
        </w:rPr>
        <w:t>天桥泉域属黄河流域。黄河自内蒙古喇嘛湾（海拔983m) 流入泉域区，自北而南纵贯中西部，于府谷县林泉峪（海拔780m）流出区外，流长190km，多年平均流量787~823m3/s。黄河是区内地表水、地下水排泄基准面，严格控制了区内水文网的分布。</w:t>
      </w:r>
    </w:p>
    <w:p>
      <w:pPr>
        <w:ind w:firstLine="480"/>
        <w:rPr>
          <w:rFonts w:cs="Times New Roman"/>
        </w:rPr>
      </w:pPr>
      <w:r>
        <w:rPr>
          <w:rFonts w:cs="Times New Roman"/>
        </w:rPr>
        <w:t>（2）泉域范围</w:t>
      </w:r>
    </w:p>
    <w:p>
      <w:pPr>
        <w:ind w:firstLine="480"/>
        <w:rPr>
          <w:rFonts w:cs="Times New Roman"/>
        </w:rPr>
      </w:pPr>
      <w:r>
        <w:rPr>
          <w:rFonts w:cs="Times New Roman"/>
        </w:rPr>
        <w:t>北部边界：中西段以寒武、奥陶系碳酸盐岩地层剥蚀尖灭带为界。东段和东北部以太古界花岗岩隆起区为界。在山西省部分则与内蒙古自治区行政边界为界。自西向东为老牛湾－水泉－杨家窑。</w:t>
      </w:r>
    </w:p>
    <w:p>
      <w:pPr>
        <w:ind w:firstLine="480"/>
        <w:rPr>
          <w:rFonts w:cs="Times New Roman"/>
        </w:rPr>
      </w:pPr>
      <w:r>
        <w:rPr>
          <w:rFonts w:cs="Times New Roman"/>
        </w:rPr>
        <w:t>东部边界：北段以断层及黑驼山地表分水岭为界，中段以地下分水岭与神头泉域为界，自北向南由杨家窑－刘家窑－下水头－暖崖东－大严备－义井镇－油梁沟。南段以地表分水岭与雷鸣寺泉域为界，自北向南为大东沟-黄草梁。</w:t>
      </w:r>
    </w:p>
    <w:p>
      <w:pPr>
        <w:ind w:firstLine="480"/>
        <w:rPr>
          <w:rFonts w:cs="Times New Roman"/>
        </w:rPr>
      </w:pPr>
      <w:r>
        <w:rPr>
          <w:rFonts w:cs="Times New Roman"/>
        </w:rPr>
        <w:t>东南及南部边界：以芦芽山背斜轴部地表分水岭为界，自北向南为芦芽山（2722m）－和尚泉-野鸡山－板楞山（2206m）－黑茶山（2203m）。</w:t>
      </w:r>
    </w:p>
    <w:p>
      <w:pPr>
        <w:ind w:firstLine="480"/>
        <w:rPr>
          <w:rFonts w:cs="Times New Roman"/>
        </w:rPr>
      </w:pPr>
      <w:r>
        <w:rPr>
          <w:rFonts w:cs="Times New Roman"/>
        </w:rPr>
        <w:t>西部边界：南段以奥陶系灰岩顶板埋深800m（标高200m）线为阻水边界。中段以黄莆-高石崖挠曲和田家石板张扭性断裂作为阻水边界。北段以奥陶系灰岩顶板埋深800m（标高400m）线为阻水边界。在山西省部分自老牛湾-保德则以黄河与内蒙、陕西为界；南段自北向南由保德城西－白家沟东－兴县城－黑茶山西一线为界。</w:t>
      </w:r>
    </w:p>
    <w:p>
      <w:pPr>
        <w:ind w:firstLine="480"/>
        <w:rPr>
          <w:rFonts w:cs="Times New Roman"/>
        </w:rPr>
      </w:pPr>
      <w:r>
        <w:rPr>
          <w:rFonts w:cs="Times New Roman"/>
        </w:rPr>
        <w:t>天桥泉域总面积13974km</w:t>
      </w:r>
      <w:r>
        <w:rPr>
          <w:rFonts w:cs="Times New Roman"/>
          <w:vertAlign w:val="superscript"/>
        </w:rPr>
        <w:t>2</w:t>
      </w:r>
      <w:r>
        <w:rPr>
          <w:rFonts w:cs="Times New Roman"/>
        </w:rPr>
        <w:t>，其中可溶岩裸露面积4404km</w:t>
      </w:r>
      <w:r>
        <w:rPr>
          <w:rFonts w:cs="Times New Roman"/>
          <w:vertAlign w:val="superscript"/>
        </w:rPr>
        <w:t>2</w:t>
      </w:r>
      <w:r>
        <w:rPr>
          <w:rFonts w:cs="Times New Roman"/>
        </w:rPr>
        <w:t>，主要分布在泉域东北部与南部地区，占泉域面积31.52％。山西省泉域面积10192km</w:t>
      </w:r>
      <w:r>
        <w:rPr>
          <w:rFonts w:cs="Times New Roman"/>
          <w:vertAlign w:val="superscript"/>
        </w:rPr>
        <w:t>2</w:t>
      </w:r>
      <w:r>
        <w:rPr>
          <w:rFonts w:cs="Times New Roman"/>
        </w:rPr>
        <w:t>，裸露可溶岩面积3422km</w:t>
      </w:r>
      <w:r>
        <w:rPr>
          <w:rFonts w:cs="Times New Roman"/>
          <w:vertAlign w:val="superscript"/>
        </w:rPr>
        <w:t>2</w:t>
      </w:r>
      <w:r>
        <w:rPr>
          <w:rFonts w:cs="Times New Roman"/>
        </w:rPr>
        <w:t>，忻州地区分别为8620km</w:t>
      </w:r>
      <w:r>
        <w:rPr>
          <w:rFonts w:cs="Times New Roman"/>
          <w:vertAlign w:val="superscript"/>
        </w:rPr>
        <w:t>2</w:t>
      </w:r>
      <w:r>
        <w:rPr>
          <w:rFonts w:cs="Times New Roman"/>
        </w:rPr>
        <w:t>和3228km</w:t>
      </w:r>
      <w:r>
        <w:rPr>
          <w:rFonts w:cs="Times New Roman"/>
          <w:vertAlign w:val="superscript"/>
        </w:rPr>
        <w:t>2</w:t>
      </w:r>
      <w:r>
        <w:rPr>
          <w:rFonts w:cs="Times New Roman"/>
        </w:rPr>
        <w:t>，吕梁地区分别为1572km</w:t>
      </w:r>
      <w:r>
        <w:rPr>
          <w:rFonts w:cs="Times New Roman"/>
          <w:vertAlign w:val="superscript"/>
        </w:rPr>
        <w:t>2</w:t>
      </w:r>
      <w:r>
        <w:rPr>
          <w:rFonts w:cs="Times New Roman"/>
        </w:rPr>
        <w:t>和194km</w:t>
      </w:r>
      <w:r>
        <w:rPr>
          <w:rFonts w:cs="Times New Roman"/>
          <w:vertAlign w:val="superscript"/>
        </w:rPr>
        <w:t>2</w:t>
      </w:r>
      <w:r>
        <w:rPr>
          <w:rFonts w:cs="Times New Roman"/>
        </w:rPr>
        <w:t>。陕西省、内蒙古自治区泉域面积共为3782km</w:t>
      </w:r>
      <w:r>
        <w:rPr>
          <w:rFonts w:cs="Times New Roman"/>
          <w:vertAlign w:val="superscript"/>
        </w:rPr>
        <w:t>2</w:t>
      </w:r>
      <w:r>
        <w:rPr>
          <w:rFonts w:cs="Times New Roman"/>
        </w:rPr>
        <w:t>。</w:t>
      </w:r>
    </w:p>
    <w:p>
      <w:pPr>
        <w:ind w:firstLine="480"/>
        <w:rPr>
          <w:rFonts w:cs="Times New Roman"/>
        </w:rPr>
      </w:pPr>
      <w:r>
        <w:rPr>
          <w:rFonts w:cs="Times New Roman"/>
        </w:rPr>
        <w:t>（3）泉域重点保护区范围</w:t>
      </w:r>
    </w:p>
    <w:p>
      <w:pPr>
        <w:ind w:firstLine="480"/>
        <w:rPr>
          <w:rFonts w:cs="Times New Roman"/>
        </w:rPr>
      </w:pPr>
      <w:r>
        <w:rPr>
          <w:rFonts w:cs="Times New Roman"/>
        </w:rPr>
        <w:t>天桥泉域重点保护区共2个，分别为河曲龙口（电厂）水源地和保德铁匠铺（电厂）水源地。</w:t>
      </w:r>
    </w:p>
    <w:p>
      <w:pPr>
        <w:ind w:firstLine="480"/>
        <w:rPr>
          <w:rFonts w:cs="Times New Roman"/>
        </w:rPr>
      </w:pPr>
      <w:r>
        <w:rPr>
          <w:rFonts w:cs="Times New Roman"/>
        </w:rPr>
        <w:t>①河曲龙口（电厂）水源地</w:t>
      </w:r>
    </w:p>
    <w:p>
      <w:pPr>
        <w:ind w:firstLine="480"/>
        <w:rPr>
          <w:rFonts w:cs="Times New Roman"/>
        </w:rPr>
      </w:pPr>
      <w:r>
        <w:rPr>
          <w:rFonts w:cs="Times New Roman"/>
        </w:rPr>
        <w:t>位于龙口梁家碛--马连口村之间黄河南岸河漫滩地带。距河曲县城14km，距河曲电厂厂址大东滩10km。东自龙口东院村以东500m，西至马连口村西500m，北以黄河现代河床为界，南以二叠系地层出露边界为界，面积约5km</w:t>
      </w:r>
      <w:r>
        <w:rPr>
          <w:rFonts w:cs="Times New Roman"/>
          <w:vertAlign w:val="superscript"/>
        </w:rPr>
        <w:t>2</w:t>
      </w:r>
      <w:r>
        <w:rPr>
          <w:rFonts w:cs="Times New Roman"/>
        </w:rPr>
        <w:t>。</w:t>
      </w:r>
    </w:p>
    <w:p>
      <w:pPr>
        <w:ind w:firstLine="480"/>
        <w:rPr>
          <w:rFonts w:cs="Times New Roman"/>
        </w:rPr>
      </w:pPr>
      <w:r>
        <w:rPr>
          <w:rFonts w:cs="Times New Roman"/>
        </w:rPr>
        <w:t>②保德铁匠铺（电厂）水源地</w:t>
      </w:r>
    </w:p>
    <w:p>
      <w:pPr>
        <w:ind w:firstLine="480"/>
        <w:rPr>
          <w:rFonts w:cs="Times New Roman"/>
        </w:rPr>
      </w:pPr>
      <w:r>
        <w:rPr>
          <w:rFonts w:cs="Times New Roman"/>
        </w:rPr>
        <w:t>位于铁匠铺村西北黄河滩上，南距保德县城6km，东以二叠系地层出露边界为界，西以黄河现代河床为界，北距天桥大坝250m为界，南至天桥地堑为界，面积约1km</w:t>
      </w:r>
      <w:r>
        <w:rPr>
          <w:rFonts w:cs="Times New Roman"/>
          <w:vertAlign w:val="superscript"/>
        </w:rPr>
        <w:t>2</w:t>
      </w:r>
      <w:r>
        <w:rPr>
          <w:rFonts w:cs="Times New Roman"/>
        </w:rPr>
        <w:t>。</w:t>
      </w:r>
    </w:p>
    <w:p>
      <w:pPr>
        <w:ind w:firstLine="480"/>
        <w:rPr>
          <w:rFonts w:eastAsia="黑体" w:cs="Times New Roman"/>
          <w:b/>
          <w:bCs/>
        </w:rPr>
      </w:pPr>
      <w:r>
        <w:rPr>
          <w:rFonts w:cs="Times New Roman"/>
        </w:rPr>
        <w:t>保德县与天桥泉域相对位置见附图5。</w:t>
      </w:r>
    </w:p>
    <w:p>
      <w:pPr>
        <w:pStyle w:val="8"/>
        <w:rPr>
          <w:rFonts w:ascii="Times New Roman" w:hAnsi="Times New Roman" w:cs="Times New Roman"/>
        </w:rPr>
      </w:pPr>
      <w:r>
        <w:rPr>
          <w:rFonts w:ascii="Times New Roman" w:hAnsi="Times New Roman" w:cs="Times New Roman"/>
        </w:rPr>
        <w:t>2.1.5 土壤</w:t>
      </w:r>
    </w:p>
    <w:p>
      <w:pPr>
        <w:ind w:firstLine="480"/>
        <w:rPr>
          <w:rFonts w:cs="Times New Roman"/>
        </w:rPr>
      </w:pPr>
      <w:r>
        <w:rPr>
          <w:rFonts w:cs="Times New Roman"/>
        </w:rPr>
        <w:t>保德县土壤类型主要有两类：栗褐土与黄绵土。黄绵土16.8km</w:t>
      </w:r>
      <w:r>
        <w:rPr>
          <w:rFonts w:cs="Times New Roman"/>
          <w:vertAlign w:val="superscript"/>
        </w:rPr>
        <w:t>2</w:t>
      </w:r>
      <w:r>
        <w:rPr>
          <w:rFonts w:cs="Times New Roman"/>
        </w:rPr>
        <w:t>，栗褐土85.78km</w:t>
      </w:r>
      <w:r>
        <w:rPr>
          <w:rFonts w:cs="Times New Roman"/>
          <w:vertAlign w:val="superscript"/>
        </w:rPr>
        <w:t>2</w:t>
      </w:r>
      <w:r>
        <w:rPr>
          <w:rFonts w:cs="Times New Roman"/>
        </w:rPr>
        <w:t>，黄绵土形成于土层深厚而性状松脆的黄土母质，在不良的耕种和经营方式以及强烈的侵蚀作用影响下，其成土过程速度远远小于侵蚀速度，因而土壤性质停留在母质状态。栗褐土成土母质为黄土，但成土条件更为干旱，因而其腐殖化作用和淋溶作用也更弱一些。栗褐土表土为淡色腐殖质层，其下有略具粘化的心土层和假菌丝状的钙积层，全剖面有石灰反应。表土有机质含量一般&lt;1%。</w:t>
      </w:r>
    </w:p>
    <w:p>
      <w:pPr>
        <w:pStyle w:val="8"/>
        <w:rPr>
          <w:rFonts w:ascii="Times New Roman" w:hAnsi="Times New Roman" w:cs="Times New Roman"/>
        </w:rPr>
      </w:pPr>
      <w:r>
        <w:rPr>
          <w:rFonts w:ascii="Times New Roman" w:hAnsi="Times New Roman" w:cs="Times New Roman"/>
        </w:rPr>
        <w:t>2.1.6 动植物</w:t>
      </w:r>
    </w:p>
    <w:p>
      <w:pPr>
        <w:ind w:firstLine="480"/>
        <w:rPr>
          <w:rFonts w:cs="Times New Roman"/>
        </w:rPr>
      </w:pPr>
      <w:r>
        <w:rPr>
          <w:rFonts w:cs="Times New Roman"/>
        </w:rPr>
        <w:t>（1）植物</w:t>
      </w:r>
    </w:p>
    <w:p>
      <w:pPr>
        <w:ind w:firstLine="480"/>
        <w:rPr>
          <w:rFonts w:cs="Times New Roman"/>
        </w:rPr>
      </w:pPr>
      <w:r>
        <w:rPr>
          <w:rFonts w:cs="Times New Roman"/>
        </w:rPr>
        <w:t>保德县范围内的自然植被属于山地干草原类，以耐瘠、低矮旱生型草灌为主，由一年生和多年生植被混合建群，无稀有植物。</w:t>
      </w:r>
    </w:p>
    <w:p>
      <w:pPr>
        <w:ind w:firstLine="480"/>
        <w:rPr>
          <w:rFonts w:cs="Times New Roman"/>
        </w:rPr>
      </w:pPr>
      <w:r>
        <w:rPr>
          <w:rFonts w:cs="Times New Roman"/>
        </w:rPr>
        <w:t>（2）动物</w:t>
      </w:r>
    </w:p>
    <w:p>
      <w:pPr>
        <w:ind w:firstLine="480"/>
        <w:rPr>
          <w:rFonts w:cs="Times New Roman"/>
        </w:rPr>
      </w:pPr>
      <w:r>
        <w:rPr>
          <w:rFonts w:cs="Times New Roman"/>
        </w:rPr>
        <w:t>保德县内无稀有动物，动物主要有野兽、禽类、鼠类等几类：</w:t>
      </w:r>
    </w:p>
    <w:p>
      <w:pPr>
        <w:ind w:firstLine="480"/>
        <w:rPr>
          <w:rFonts w:cs="Times New Roman"/>
        </w:rPr>
      </w:pPr>
      <w:r>
        <w:rPr>
          <w:rFonts w:cs="Times New Roman"/>
        </w:rPr>
        <w:t>野兽以野兔居多；禽类主要有猫头鹰、鹰、鹞、燕、啄木鸟、文鸟、白头翁、雉鸡、石鸡、鸽、鸠、黄鹂、八哥、麻雀、喜鹊、灰喜鹊、蒿雀、乌鸦、红咀鸟、布谷、戴胜等；鼠类主要有黄鼠（野鼠）、大家鼠、小家鼠、五道眉鼠（咯哩）。等。</w:t>
      </w:r>
    </w:p>
    <w:p>
      <w:pPr>
        <w:pStyle w:val="7"/>
        <w:rPr>
          <w:rFonts w:ascii="Times New Roman" w:hAnsi="Times New Roman" w:cs="Times New Roman"/>
        </w:rPr>
      </w:pPr>
      <w:bookmarkStart w:id="23" w:name="_Toc43848806"/>
      <w:bookmarkStart w:id="24" w:name="_Toc6055969"/>
      <w:bookmarkStart w:id="25" w:name="_Toc5700484"/>
      <w:bookmarkStart w:id="26" w:name="_Toc5700485"/>
      <w:bookmarkStart w:id="27" w:name="_Toc6055971"/>
      <w:r>
        <w:rPr>
          <w:rFonts w:ascii="Times New Roman" w:hAnsi="Times New Roman" w:cs="Times New Roman"/>
        </w:rPr>
        <w:t>2.2 社会经济</w:t>
      </w:r>
      <w:bookmarkEnd w:id="23"/>
    </w:p>
    <w:p>
      <w:pPr>
        <w:pStyle w:val="8"/>
        <w:rPr>
          <w:rFonts w:ascii="Times New Roman" w:hAnsi="Times New Roman" w:cs="Times New Roman"/>
        </w:rPr>
      </w:pPr>
      <w:r>
        <w:rPr>
          <w:rFonts w:ascii="Times New Roman" w:hAnsi="Times New Roman" w:cs="Times New Roman"/>
        </w:rPr>
        <w:t>2.2.1 行政区划</w:t>
      </w:r>
      <w:bookmarkEnd w:id="24"/>
      <w:bookmarkEnd w:id="25"/>
    </w:p>
    <w:p>
      <w:pPr>
        <w:ind w:firstLine="480"/>
        <w:rPr>
          <w:rFonts w:eastAsia="黑体" w:cs="Times New Roman"/>
          <w:b/>
          <w:bCs/>
        </w:rPr>
      </w:pPr>
      <w:r>
        <w:rPr>
          <w:rFonts w:cs="Times New Roman"/>
          <w:shd w:val="clear" w:color="auto" w:fill="FFFFFF"/>
        </w:rPr>
        <w:t>根据调查数据，保德县辖4镇9乡、</w:t>
      </w:r>
      <w:r>
        <w:rPr>
          <w:rFonts w:hint="eastAsia" w:cs="Times New Roman"/>
          <w:shd w:val="clear" w:color="auto" w:fill="FFFFFF"/>
        </w:rPr>
        <w:t>222个行政村，目前户籍人口16万</w:t>
      </w:r>
      <w:r>
        <w:rPr>
          <w:rFonts w:cs="Times New Roman"/>
          <w:shd w:val="clear" w:color="auto" w:fill="FFFFFF"/>
        </w:rPr>
        <w:t>，常住人口5.03万人。县政府驻东关镇。保德县是一个典型的山区县，也是国家级贫困县。保德县</w:t>
      </w:r>
      <w:r>
        <w:rPr>
          <w:rFonts w:hint="eastAsia" w:cs="Times New Roman"/>
          <w:shd w:val="clear" w:color="auto" w:fill="FFFFFF"/>
        </w:rPr>
        <w:t>行政区划见</w:t>
      </w:r>
      <w:r>
        <w:rPr>
          <w:rFonts w:cs="Times New Roman"/>
          <w:shd w:val="clear" w:color="auto" w:fill="FFFFFF"/>
        </w:rPr>
        <w:t>附图</w:t>
      </w:r>
      <w:r>
        <w:rPr>
          <w:rFonts w:hint="eastAsia" w:cs="Times New Roman"/>
          <w:shd w:val="clear" w:color="auto" w:fill="FFFFFF"/>
        </w:rPr>
        <w:t>6</w:t>
      </w:r>
      <w:r>
        <w:rPr>
          <w:rFonts w:cs="Times New Roman"/>
          <w:shd w:val="clear" w:color="auto" w:fill="FFFFFF"/>
        </w:rPr>
        <w:t>。</w:t>
      </w:r>
    </w:p>
    <w:p>
      <w:pPr>
        <w:pStyle w:val="8"/>
        <w:rPr>
          <w:rFonts w:ascii="Times New Roman" w:hAnsi="Times New Roman" w:cs="Times New Roman"/>
        </w:rPr>
      </w:pPr>
      <w:r>
        <w:rPr>
          <w:rFonts w:ascii="Times New Roman" w:hAnsi="Times New Roman" w:cs="Times New Roman"/>
        </w:rPr>
        <w:t>2.2.2 乡镇概况</w:t>
      </w:r>
      <w:bookmarkEnd w:id="26"/>
    </w:p>
    <w:p>
      <w:pPr>
        <w:ind w:firstLine="480"/>
        <w:rPr>
          <w:rFonts w:cs="Times New Roman"/>
          <w:shd w:val="clear" w:color="auto" w:fill="FFFFFF"/>
        </w:rPr>
      </w:pPr>
      <w:r>
        <w:rPr>
          <w:rFonts w:cs="Times New Roman"/>
          <w:shd w:val="clear" w:color="auto" w:fill="FFFFFF"/>
        </w:rPr>
        <w:t>根据本次调查数据，保德县各乡镇及行政村信息见表2-1和2-2。</w:t>
      </w:r>
      <w:r>
        <w:rPr>
          <w:rFonts w:hint="eastAsia" w:cs="Times New Roman"/>
          <w:shd w:val="clear" w:color="auto" w:fill="FFFFFF"/>
        </w:rPr>
        <w:t>保德县村庄人口分布见附图7。</w:t>
      </w:r>
    </w:p>
    <w:p>
      <w:pPr>
        <w:pStyle w:val="16"/>
        <w:ind w:firstLine="420"/>
        <w:rPr>
          <w:rFonts w:eastAsia="黑体" w:cs="Times New Roman"/>
          <w:b w:val="0"/>
          <w:bCs/>
        </w:rPr>
      </w:pPr>
      <w:r>
        <w:rPr>
          <w:rFonts w:eastAsia="黑体" w:cs="Times New Roman"/>
          <w:b w:val="0"/>
          <w:bCs/>
        </w:rPr>
        <w:t>表2</w:t>
      </w:r>
      <w:r>
        <w:rPr>
          <w:rFonts w:eastAsia="黑体" w:cs="Times New Roman"/>
          <w:b w:val="0"/>
          <w:bCs/>
        </w:rPr>
        <w:noBreakHyphen/>
      </w:r>
      <w:r>
        <w:rPr>
          <w:rFonts w:eastAsia="黑体" w:cs="Times New Roman"/>
          <w:b w:val="0"/>
          <w:bCs/>
        </w:rPr>
        <w:fldChar w:fldCharType="begin"/>
      </w:r>
      <w:r>
        <w:rPr>
          <w:rFonts w:eastAsia="黑体" w:cs="Times New Roman"/>
          <w:b w:val="0"/>
          <w:bCs/>
        </w:rPr>
        <w:instrText xml:space="preserve"> SEQ 表 \* ARABIC \s 1 </w:instrText>
      </w:r>
      <w:r>
        <w:rPr>
          <w:rFonts w:eastAsia="黑体" w:cs="Times New Roman"/>
          <w:b w:val="0"/>
          <w:bCs/>
        </w:rPr>
        <w:fldChar w:fldCharType="separate"/>
      </w:r>
      <w:r>
        <w:rPr>
          <w:rFonts w:eastAsia="黑体" w:cs="Times New Roman"/>
          <w:b w:val="0"/>
          <w:bCs/>
        </w:rPr>
        <w:t>1</w:t>
      </w:r>
      <w:r>
        <w:rPr>
          <w:rFonts w:eastAsia="黑体" w:cs="Times New Roman"/>
          <w:b w:val="0"/>
          <w:bCs/>
        </w:rPr>
        <w:fldChar w:fldCharType="end"/>
      </w:r>
      <w:r>
        <w:rPr>
          <w:rFonts w:eastAsia="黑体" w:cs="Times New Roman"/>
          <w:b w:val="0"/>
          <w:bCs/>
        </w:rPr>
        <w:t>保德县各行政村人口数（2020年）</w:t>
      </w:r>
    </w:p>
    <w:tbl>
      <w:tblPr>
        <w:tblStyle w:val="10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993"/>
        <w:gridCol w:w="1134"/>
        <w:gridCol w:w="1134"/>
        <w:gridCol w:w="51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blHeader/>
        </w:trPr>
        <w:tc>
          <w:tcPr>
            <w:tcW w:w="675" w:type="dxa"/>
            <w:vAlign w:val="center"/>
          </w:tcPr>
          <w:p>
            <w:pPr>
              <w:spacing w:line="240" w:lineRule="auto"/>
              <w:ind w:firstLine="0" w:firstLineChars="0"/>
              <w:jc w:val="center"/>
              <w:rPr>
                <w:rFonts w:eastAsia="黑体" w:cs="Times New Roman"/>
                <w:sz w:val="21"/>
                <w:szCs w:val="21"/>
              </w:rPr>
            </w:pPr>
            <w:r>
              <w:rPr>
                <w:rFonts w:eastAsia="黑体" w:cs="Times New Roman"/>
                <w:sz w:val="21"/>
                <w:szCs w:val="21"/>
              </w:rPr>
              <w:t>序号</w:t>
            </w:r>
          </w:p>
        </w:tc>
        <w:tc>
          <w:tcPr>
            <w:tcW w:w="993" w:type="dxa"/>
            <w:vAlign w:val="center"/>
          </w:tcPr>
          <w:p>
            <w:pPr>
              <w:spacing w:line="240" w:lineRule="auto"/>
              <w:ind w:firstLine="0" w:firstLineChars="0"/>
              <w:jc w:val="center"/>
              <w:rPr>
                <w:rFonts w:eastAsia="黑体" w:cs="Times New Roman"/>
                <w:sz w:val="21"/>
                <w:szCs w:val="21"/>
              </w:rPr>
            </w:pPr>
            <w:r>
              <w:rPr>
                <w:rFonts w:eastAsia="黑体" w:cs="Times New Roman"/>
                <w:sz w:val="21"/>
                <w:szCs w:val="21"/>
              </w:rPr>
              <w:t>乡镇</w:t>
            </w:r>
          </w:p>
        </w:tc>
        <w:tc>
          <w:tcPr>
            <w:tcW w:w="1134" w:type="dxa"/>
            <w:vAlign w:val="center"/>
          </w:tcPr>
          <w:p>
            <w:pPr>
              <w:spacing w:line="240" w:lineRule="auto"/>
              <w:ind w:firstLine="0" w:firstLineChars="0"/>
              <w:jc w:val="center"/>
              <w:rPr>
                <w:rFonts w:eastAsia="黑体" w:cs="Times New Roman"/>
                <w:sz w:val="21"/>
                <w:szCs w:val="21"/>
              </w:rPr>
            </w:pPr>
            <w:r>
              <w:rPr>
                <w:rFonts w:eastAsia="黑体" w:cs="Times New Roman"/>
                <w:sz w:val="21"/>
                <w:szCs w:val="21"/>
              </w:rPr>
              <w:t>现行政村（个）</w:t>
            </w:r>
          </w:p>
        </w:tc>
        <w:tc>
          <w:tcPr>
            <w:tcW w:w="1134" w:type="dxa"/>
            <w:vAlign w:val="center"/>
          </w:tcPr>
          <w:p>
            <w:pPr>
              <w:spacing w:line="240" w:lineRule="auto"/>
              <w:ind w:firstLine="0" w:firstLineChars="0"/>
              <w:jc w:val="center"/>
              <w:rPr>
                <w:rFonts w:eastAsia="黑体" w:cs="Times New Roman"/>
                <w:sz w:val="21"/>
                <w:szCs w:val="21"/>
              </w:rPr>
            </w:pPr>
            <w:r>
              <w:rPr>
                <w:rFonts w:eastAsia="黑体" w:cs="Times New Roman"/>
                <w:sz w:val="21"/>
                <w:szCs w:val="21"/>
              </w:rPr>
              <w:t>常住人口数（人）</w:t>
            </w:r>
          </w:p>
        </w:tc>
        <w:tc>
          <w:tcPr>
            <w:tcW w:w="5124" w:type="dxa"/>
            <w:vAlign w:val="center"/>
          </w:tcPr>
          <w:p>
            <w:pPr>
              <w:spacing w:line="240" w:lineRule="auto"/>
              <w:ind w:firstLine="0" w:firstLineChars="0"/>
              <w:jc w:val="center"/>
              <w:rPr>
                <w:rFonts w:eastAsia="黑体" w:cs="Times New Roman"/>
                <w:sz w:val="21"/>
                <w:szCs w:val="21"/>
              </w:rPr>
            </w:pPr>
            <w:r>
              <w:rPr>
                <w:rFonts w:eastAsia="黑体" w:cs="Times New Roman"/>
                <w:sz w:val="21"/>
                <w:szCs w:val="21"/>
              </w:rPr>
              <w:t>行政村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5" w:hRule="atLeast"/>
        </w:trPr>
        <w:tc>
          <w:tcPr>
            <w:tcW w:w="675" w:type="dxa"/>
            <w:vAlign w:val="center"/>
          </w:tcPr>
          <w:p>
            <w:pPr>
              <w:spacing w:line="240" w:lineRule="auto"/>
              <w:ind w:firstLine="0" w:firstLineChars="0"/>
              <w:jc w:val="center"/>
              <w:rPr>
                <w:rFonts w:cs="Times New Roman"/>
                <w:sz w:val="21"/>
                <w:szCs w:val="21"/>
              </w:rPr>
            </w:pPr>
            <w:r>
              <w:rPr>
                <w:rFonts w:cs="Times New Roman"/>
                <w:sz w:val="21"/>
                <w:szCs w:val="21"/>
              </w:rPr>
              <w:t>1</w:t>
            </w:r>
          </w:p>
        </w:tc>
        <w:tc>
          <w:tcPr>
            <w:tcW w:w="993" w:type="dxa"/>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23</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21857</w:t>
            </w:r>
          </w:p>
        </w:tc>
        <w:tc>
          <w:tcPr>
            <w:tcW w:w="5124" w:type="dxa"/>
            <w:vAlign w:val="center"/>
          </w:tcPr>
          <w:p>
            <w:pPr>
              <w:spacing w:line="240" w:lineRule="auto"/>
              <w:ind w:firstLine="0" w:firstLineChars="0"/>
              <w:rPr>
                <w:rFonts w:cs="Times New Roman"/>
                <w:sz w:val="21"/>
                <w:szCs w:val="21"/>
              </w:rPr>
            </w:pPr>
            <w:r>
              <w:rPr>
                <w:rFonts w:cs="Times New Roman"/>
                <w:sz w:val="21"/>
                <w:szCs w:val="21"/>
              </w:rPr>
              <w:t>新庄子村、刘家</w:t>
            </w:r>
            <w:r>
              <w:rPr>
                <w:rFonts w:hint="eastAsia" w:cs="Times New Roman"/>
                <w:sz w:val="21"/>
                <w:szCs w:val="21"/>
              </w:rPr>
              <w:t>墕</w:t>
            </w:r>
            <w:r>
              <w:rPr>
                <w:rFonts w:cs="Times New Roman"/>
                <w:sz w:val="21"/>
                <w:szCs w:val="21"/>
              </w:rPr>
              <w:t>村、大烟墩村、大树梁村、西南沟村、城内村、陈家梁村、麻堰村、铁匠铺村、郭家滩村、佘家梁村、前芦子沟、马家洼村、康家滩村、后沟村、陈家塔村、庙梁村、张家圪</w:t>
            </w:r>
            <w:r>
              <w:rPr>
                <w:rFonts w:hint="eastAsia" w:cs="Times New Roman"/>
                <w:sz w:val="21"/>
                <w:szCs w:val="21"/>
              </w:rPr>
              <w:t>坨</w:t>
            </w:r>
            <w:r>
              <w:rPr>
                <w:rFonts w:cs="Times New Roman"/>
                <w:sz w:val="21"/>
                <w:szCs w:val="21"/>
              </w:rPr>
              <w:t>村、王家滩村、马家滩村、康家塔村、大黄坡村、新窑村</w:t>
            </w:r>
            <w:r>
              <w:rPr>
                <w:rFonts w:hint="eastAsia" w:cs="Times New Roman"/>
                <w:sz w:val="21"/>
                <w:szCs w:val="21"/>
              </w:rPr>
              <w:t>、王家窨子村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675" w:type="dxa"/>
            <w:vAlign w:val="center"/>
          </w:tcPr>
          <w:p>
            <w:pPr>
              <w:spacing w:line="240" w:lineRule="auto"/>
              <w:ind w:firstLine="0" w:firstLineChars="0"/>
              <w:jc w:val="center"/>
              <w:rPr>
                <w:rFonts w:cs="Times New Roman"/>
                <w:sz w:val="21"/>
                <w:szCs w:val="21"/>
              </w:rPr>
            </w:pPr>
            <w:r>
              <w:rPr>
                <w:rFonts w:cs="Times New Roman"/>
                <w:sz w:val="21"/>
                <w:szCs w:val="21"/>
              </w:rPr>
              <w:t>2</w:t>
            </w:r>
          </w:p>
        </w:tc>
        <w:tc>
          <w:tcPr>
            <w:tcW w:w="993" w:type="dxa"/>
            <w:vAlign w:val="center"/>
          </w:tcPr>
          <w:p>
            <w:pPr>
              <w:spacing w:line="240" w:lineRule="auto"/>
              <w:ind w:firstLine="0" w:firstLineChars="0"/>
              <w:jc w:val="center"/>
              <w:rPr>
                <w:rFonts w:cs="Times New Roman"/>
                <w:sz w:val="21"/>
                <w:szCs w:val="21"/>
              </w:rPr>
            </w:pPr>
            <w:r>
              <w:rPr>
                <w:rFonts w:cs="Times New Roman"/>
                <w:sz w:val="21"/>
                <w:szCs w:val="21"/>
              </w:rPr>
              <w:t>桥头镇</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27</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5239</w:t>
            </w:r>
          </w:p>
        </w:tc>
        <w:tc>
          <w:tcPr>
            <w:tcW w:w="5124" w:type="dxa"/>
            <w:vAlign w:val="center"/>
          </w:tcPr>
          <w:p>
            <w:pPr>
              <w:spacing w:line="240" w:lineRule="auto"/>
              <w:ind w:firstLine="0" w:firstLineChars="0"/>
              <w:rPr>
                <w:rFonts w:cs="Times New Roman"/>
                <w:sz w:val="21"/>
                <w:szCs w:val="21"/>
              </w:rPr>
            </w:pPr>
            <w:r>
              <w:rPr>
                <w:rFonts w:cs="Times New Roman"/>
                <w:sz w:val="21"/>
                <w:szCs w:val="21"/>
              </w:rPr>
              <w:t>井道沟村、涧沟村、桥头村、吴家梁村、白家庄村、见虎焉村、苏家里村、夏柳青村、</w:t>
            </w:r>
            <w:r>
              <w:rPr>
                <w:rFonts w:hint="eastAsia" w:cs="Times New Roman"/>
                <w:sz w:val="21"/>
                <w:szCs w:val="21"/>
              </w:rPr>
              <w:t>铨</w:t>
            </w:r>
            <w:r>
              <w:rPr>
                <w:rFonts w:cs="Times New Roman"/>
                <w:sz w:val="21"/>
                <w:szCs w:val="21"/>
              </w:rPr>
              <w:t>家坪村、桑园村、杨家峁村、石堎村、石棱湾村、刘家洼村、郝家里村、炭峪沟村、孙家墕村、枣林村、东局村、深沟村、桥沟村、石塘村、马蹄罕村、王家里村、张家寨村、韩家塔村、薛塔村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675" w:type="dxa"/>
            <w:vAlign w:val="center"/>
          </w:tcPr>
          <w:p>
            <w:pPr>
              <w:spacing w:line="240" w:lineRule="auto"/>
              <w:ind w:firstLine="0" w:firstLineChars="0"/>
              <w:jc w:val="center"/>
              <w:rPr>
                <w:rFonts w:cs="Times New Roman"/>
                <w:sz w:val="21"/>
                <w:szCs w:val="21"/>
              </w:rPr>
            </w:pPr>
            <w:r>
              <w:rPr>
                <w:rFonts w:cs="Times New Roman"/>
                <w:sz w:val="21"/>
                <w:szCs w:val="21"/>
              </w:rPr>
              <w:t>3</w:t>
            </w:r>
          </w:p>
        </w:tc>
        <w:tc>
          <w:tcPr>
            <w:tcW w:w="993" w:type="dxa"/>
            <w:vAlign w:val="center"/>
          </w:tcPr>
          <w:p>
            <w:pPr>
              <w:spacing w:line="240" w:lineRule="auto"/>
              <w:ind w:firstLine="0" w:firstLineChars="0"/>
              <w:jc w:val="center"/>
              <w:rPr>
                <w:rFonts w:cs="Times New Roman"/>
                <w:sz w:val="21"/>
                <w:szCs w:val="21"/>
              </w:rPr>
            </w:pPr>
            <w:r>
              <w:rPr>
                <w:rFonts w:cs="Times New Roman"/>
                <w:sz w:val="21"/>
                <w:szCs w:val="21"/>
              </w:rPr>
              <w:t>杨家湾镇</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18</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2874</w:t>
            </w:r>
          </w:p>
        </w:tc>
        <w:tc>
          <w:tcPr>
            <w:tcW w:w="5124" w:type="dxa"/>
            <w:vAlign w:val="center"/>
          </w:tcPr>
          <w:p>
            <w:pPr>
              <w:spacing w:line="240" w:lineRule="auto"/>
              <w:ind w:firstLine="0" w:firstLineChars="0"/>
              <w:rPr>
                <w:rFonts w:cs="Times New Roman"/>
                <w:sz w:val="21"/>
                <w:szCs w:val="21"/>
              </w:rPr>
            </w:pPr>
            <w:r>
              <w:rPr>
                <w:rFonts w:cs="Times New Roman"/>
                <w:sz w:val="21"/>
                <w:szCs w:val="21"/>
              </w:rPr>
              <w:t>太平头村、段家沟村、霍家梁村、孙家梁村、王家洼村、故城村、李家峁村、花园村、前会村、后会村、杨家湾村、郭家湾村、稻畦村、崔家湾村、余铁村、石洼村、山头村、崔家墕村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atLeast"/>
        </w:trPr>
        <w:tc>
          <w:tcPr>
            <w:tcW w:w="675" w:type="dxa"/>
            <w:vAlign w:val="center"/>
          </w:tcPr>
          <w:p>
            <w:pPr>
              <w:spacing w:line="240" w:lineRule="auto"/>
              <w:ind w:firstLine="0" w:firstLineChars="0"/>
              <w:jc w:val="center"/>
              <w:rPr>
                <w:rFonts w:cs="Times New Roman"/>
                <w:sz w:val="21"/>
                <w:szCs w:val="21"/>
              </w:rPr>
            </w:pPr>
            <w:r>
              <w:rPr>
                <w:rFonts w:cs="Times New Roman"/>
                <w:sz w:val="21"/>
                <w:szCs w:val="21"/>
              </w:rPr>
              <w:t>4</w:t>
            </w:r>
          </w:p>
        </w:tc>
        <w:tc>
          <w:tcPr>
            <w:tcW w:w="993" w:type="dxa"/>
            <w:vAlign w:val="center"/>
          </w:tcPr>
          <w:p>
            <w:pPr>
              <w:spacing w:line="240" w:lineRule="auto"/>
              <w:ind w:firstLine="0" w:firstLineChars="0"/>
              <w:jc w:val="center"/>
              <w:rPr>
                <w:rFonts w:cs="Times New Roman"/>
                <w:sz w:val="21"/>
                <w:szCs w:val="21"/>
              </w:rPr>
            </w:pPr>
            <w:r>
              <w:rPr>
                <w:rFonts w:cs="Times New Roman"/>
                <w:sz w:val="21"/>
                <w:szCs w:val="21"/>
              </w:rPr>
              <w:t>义门镇</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27</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7370</w:t>
            </w:r>
          </w:p>
        </w:tc>
        <w:tc>
          <w:tcPr>
            <w:tcW w:w="5124" w:type="dxa"/>
            <w:vAlign w:val="center"/>
          </w:tcPr>
          <w:p>
            <w:pPr>
              <w:spacing w:line="240" w:lineRule="auto"/>
              <w:ind w:firstLine="0" w:firstLineChars="0"/>
              <w:rPr>
                <w:rFonts w:cs="Times New Roman"/>
                <w:sz w:val="21"/>
                <w:szCs w:val="21"/>
              </w:rPr>
            </w:pPr>
            <w:r>
              <w:rPr>
                <w:rFonts w:cs="Times New Roman"/>
                <w:sz w:val="21"/>
                <w:szCs w:val="21"/>
              </w:rPr>
              <w:t>雷家峁村、崔家堎村、小赵家沟、赵家寨、</w:t>
            </w:r>
            <w:r>
              <w:rPr>
                <w:rFonts w:hint="eastAsia" w:cs="Times New Roman"/>
                <w:sz w:val="21"/>
                <w:szCs w:val="21"/>
              </w:rPr>
              <w:t>刘</w:t>
            </w:r>
            <w:r>
              <w:rPr>
                <w:rFonts w:cs="Times New Roman"/>
                <w:sz w:val="21"/>
                <w:szCs w:val="21"/>
              </w:rPr>
              <w:t>家峁、王家焉、袁家里、康家沟、狄家焉、暖泉、天桥村、刘家畔村、庙峁村、义门村、梁家村、永泉村、团结村、岳家里村、贾家峁村、张家峁村、行宫焉村、赵家沟、岳家沟、路家村、荣家沟、武家塔、南峁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675" w:type="dxa"/>
            <w:vAlign w:val="center"/>
          </w:tcPr>
          <w:p>
            <w:pPr>
              <w:spacing w:line="240" w:lineRule="auto"/>
              <w:ind w:firstLine="0" w:firstLineChars="0"/>
              <w:jc w:val="center"/>
              <w:rPr>
                <w:rFonts w:cs="Times New Roman"/>
                <w:sz w:val="21"/>
                <w:szCs w:val="21"/>
              </w:rPr>
            </w:pPr>
            <w:r>
              <w:rPr>
                <w:rFonts w:cs="Times New Roman"/>
                <w:sz w:val="21"/>
                <w:szCs w:val="21"/>
              </w:rPr>
              <w:t>5</w:t>
            </w:r>
          </w:p>
        </w:tc>
        <w:tc>
          <w:tcPr>
            <w:tcW w:w="993" w:type="dxa"/>
            <w:vAlign w:val="center"/>
          </w:tcPr>
          <w:p>
            <w:pPr>
              <w:spacing w:line="240" w:lineRule="auto"/>
              <w:ind w:firstLine="0" w:firstLineChars="0"/>
              <w:jc w:val="center"/>
              <w:rPr>
                <w:rFonts w:cs="Times New Roman"/>
                <w:sz w:val="21"/>
                <w:szCs w:val="21"/>
              </w:rPr>
            </w:pPr>
            <w:r>
              <w:rPr>
                <w:rFonts w:cs="Times New Roman"/>
                <w:sz w:val="21"/>
                <w:szCs w:val="21"/>
              </w:rPr>
              <w:t>林遮峪乡</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11</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1416</w:t>
            </w:r>
          </w:p>
        </w:tc>
        <w:tc>
          <w:tcPr>
            <w:tcW w:w="5124" w:type="dxa"/>
            <w:vAlign w:val="center"/>
          </w:tcPr>
          <w:p>
            <w:pPr>
              <w:spacing w:line="240" w:lineRule="auto"/>
              <w:ind w:firstLine="0" w:firstLineChars="0"/>
              <w:rPr>
                <w:rFonts w:cs="Times New Roman"/>
                <w:sz w:val="21"/>
                <w:szCs w:val="21"/>
              </w:rPr>
            </w:pPr>
            <w:r>
              <w:rPr>
                <w:rFonts w:cs="Times New Roman"/>
                <w:sz w:val="21"/>
                <w:szCs w:val="21"/>
              </w:rPr>
              <w:t>刘家塔村、后村、霍家塔、林遮峪村、苇耳梁村、下川坪村、南里村、沙里、郝家庄村、元家山村、杜家峁村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675" w:type="dxa"/>
            <w:vAlign w:val="center"/>
          </w:tcPr>
          <w:p>
            <w:pPr>
              <w:spacing w:line="240" w:lineRule="auto"/>
              <w:ind w:firstLine="0" w:firstLineChars="0"/>
              <w:jc w:val="center"/>
              <w:rPr>
                <w:rFonts w:cs="Times New Roman"/>
                <w:sz w:val="21"/>
                <w:szCs w:val="21"/>
              </w:rPr>
            </w:pPr>
            <w:r>
              <w:rPr>
                <w:rFonts w:cs="Times New Roman"/>
                <w:sz w:val="21"/>
                <w:szCs w:val="21"/>
              </w:rPr>
              <w:t>6</w:t>
            </w:r>
          </w:p>
        </w:tc>
        <w:tc>
          <w:tcPr>
            <w:tcW w:w="993" w:type="dxa"/>
            <w:vAlign w:val="center"/>
          </w:tcPr>
          <w:p>
            <w:pPr>
              <w:spacing w:line="240" w:lineRule="auto"/>
              <w:ind w:firstLine="0" w:firstLineChars="0"/>
              <w:jc w:val="center"/>
              <w:rPr>
                <w:rFonts w:cs="Times New Roman"/>
                <w:sz w:val="21"/>
                <w:szCs w:val="21"/>
              </w:rPr>
            </w:pPr>
            <w:r>
              <w:rPr>
                <w:rFonts w:cs="Times New Roman"/>
                <w:sz w:val="21"/>
                <w:szCs w:val="21"/>
              </w:rPr>
              <w:t>土崖塔乡</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13</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766</w:t>
            </w:r>
          </w:p>
        </w:tc>
        <w:tc>
          <w:tcPr>
            <w:tcW w:w="5124" w:type="dxa"/>
            <w:vAlign w:val="center"/>
          </w:tcPr>
          <w:p>
            <w:pPr>
              <w:spacing w:line="240" w:lineRule="auto"/>
              <w:ind w:firstLine="0" w:firstLineChars="0"/>
              <w:rPr>
                <w:rFonts w:cs="Times New Roman"/>
                <w:sz w:val="21"/>
                <w:szCs w:val="21"/>
              </w:rPr>
            </w:pPr>
            <w:r>
              <w:rPr>
                <w:rFonts w:cs="Times New Roman"/>
                <w:sz w:val="21"/>
                <w:szCs w:val="21"/>
              </w:rPr>
              <w:t>神树梁、乔家塔、王家坡、姜家庄、安家山、西山头、西梁、路家局、依杏塔村、寨上、党家里、武家塔、土崖塔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675" w:type="dxa"/>
            <w:vAlign w:val="center"/>
          </w:tcPr>
          <w:p>
            <w:pPr>
              <w:spacing w:line="240" w:lineRule="auto"/>
              <w:ind w:firstLine="0" w:firstLineChars="0"/>
              <w:jc w:val="center"/>
              <w:rPr>
                <w:rFonts w:cs="Times New Roman"/>
                <w:sz w:val="21"/>
                <w:szCs w:val="21"/>
              </w:rPr>
            </w:pPr>
            <w:r>
              <w:rPr>
                <w:rFonts w:cs="Times New Roman"/>
                <w:sz w:val="21"/>
                <w:szCs w:val="21"/>
              </w:rPr>
              <w:t>7</w:t>
            </w:r>
          </w:p>
        </w:tc>
        <w:tc>
          <w:tcPr>
            <w:tcW w:w="993" w:type="dxa"/>
            <w:vAlign w:val="center"/>
          </w:tcPr>
          <w:p>
            <w:pPr>
              <w:spacing w:line="240" w:lineRule="auto"/>
              <w:ind w:firstLine="0" w:firstLineChars="0"/>
              <w:jc w:val="center"/>
              <w:rPr>
                <w:rFonts w:cs="Times New Roman"/>
                <w:sz w:val="21"/>
                <w:szCs w:val="21"/>
              </w:rPr>
            </w:pPr>
            <w:r>
              <w:rPr>
                <w:rFonts w:cs="Times New Roman"/>
                <w:sz w:val="21"/>
                <w:szCs w:val="21"/>
              </w:rPr>
              <w:t>冯家川乡</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9</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1288</w:t>
            </w:r>
          </w:p>
        </w:tc>
        <w:tc>
          <w:tcPr>
            <w:tcW w:w="5124" w:type="dxa"/>
            <w:vAlign w:val="center"/>
          </w:tcPr>
          <w:p>
            <w:pPr>
              <w:spacing w:line="240" w:lineRule="auto"/>
              <w:ind w:firstLine="0" w:firstLineChars="0"/>
              <w:rPr>
                <w:rFonts w:cs="Times New Roman"/>
                <w:sz w:val="21"/>
                <w:szCs w:val="21"/>
              </w:rPr>
            </w:pPr>
            <w:r>
              <w:rPr>
                <w:rFonts w:cs="Times New Roman"/>
                <w:sz w:val="21"/>
                <w:szCs w:val="21"/>
              </w:rPr>
              <w:t>神山村、后川村、王家辿村、武家沟村、沙坪、龙驼沟村、翟家塔村、冯家川村、孙家里村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5" w:hRule="atLeast"/>
        </w:trPr>
        <w:tc>
          <w:tcPr>
            <w:tcW w:w="675" w:type="dxa"/>
            <w:vAlign w:val="center"/>
          </w:tcPr>
          <w:p>
            <w:pPr>
              <w:spacing w:line="240" w:lineRule="auto"/>
              <w:ind w:firstLine="0" w:firstLineChars="0"/>
              <w:jc w:val="center"/>
              <w:rPr>
                <w:rFonts w:cs="Times New Roman"/>
                <w:sz w:val="21"/>
                <w:szCs w:val="21"/>
              </w:rPr>
            </w:pPr>
            <w:r>
              <w:rPr>
                <w:rFonts w:cs="Times New Roman"/>
                <w:sz w:val="21"/>
                <w:szCs w:val="21"/>
              </w:rPr>
              <w:t>8</w:t>
            </w:r>
          </w:p>
        </w:tc>
        <w:tc>
          <w:tcPr>
            <w:tcW w:w="993" w:type="dxa"/>
            <w:vAlign w:val="center"/>
          </w:tcPr>
          <w:p>
            <w:pPr>
              <w:spacing w:line="240" w:lineRule="auto"/>
              <w:ind w:firstLine="0" w:firstLineChars="0"/>
              <w:jc w:val="center"/>
              <w:rPr>
                <w:rFonts w:cs="Times New Roman"/>
                <w:sz w:val="21"/>
                <w:szCs w:val="21"/>
              </w:rPr>
            </w:pPr>
            <w:r>
              <w:rPr>
                <w:rFonts w:cs="Times New Roman"/>
                <w:sz w:val="21"/>
                <w:szCs w:val="21"/>
              </w:rPr>
              <w:t>南河沟乡</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27</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1828</w:t>
            </w:r>
          </w:p>
        </w:tc>
        <w:tc>
          <w:tcPr>
            <w:tcW w:w="5124" w:type="dxa"/>
            <w:vAlign w:val="center"/>
          </w:tcPr>
          <w:p>
            <w:pPr>
              <w:spacing w:line="240" w:lineRule="auto"/>
              <w:ind w:firstLine="0" w:firstLineChars="0"/>
              <w:rPr>
                <w:rFonts w:cs="Times New Roman"/>
                <w:sz w:val="21"/>
                <w:szCs w:val="21"/>
              </w:rPr>
            </w:pPr>
            <w:r>
              <w:rPr>
                <w:rFonts w:cs="Times New Roman"/>
                <w:sz w:val="21"/>
                <w:szCs w:val="21"/>
              </w:rPr>
              <w:t>杏岭、刘家焉、中焉、丁家塔、尚家塔、石桥塔村、禅房、四井头、吉利坪、偏桥、姚家焉、李家湾、白家沟、韩家塔、大塔村、扒楼沟、刘家坡、南河沟、寨墕、杨家沟、东庄墕村、秦家河村、韩家焉村、雷家峁村、舍尔塔、营村、</w:t>
            </w:r>
            <w:r>
              <w:rPr>
                <w:rFonts w:hint="eastAsia" w:cs="Times New Roman"/>
                <w:sz w:val="21"/>
                <w:szCs w:val="21"/>
              </w:rPr>
              <w:t>柳</w:t>
            </w:r>
            <w:r>
              <w:rPr>
                <w:rFonts w:cs="Times New Roman"/>
                <w:sz w:val="21"/>
                <w:szCs w:val="21"/>
              </w:rPr>
              <w:t>树沟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5" w:hRule="atLeast"/>
        </w:trPr>
        <w:tc>
          <w:tcPr>
            <w:tcW w:w="675" w:type="dxa"/>
            <w:vAlign w:val="center"/>
          </w:tcPr>
          <w:p>
            <w:pPr>
              <w:spacing w:line="240" w:lineRule="auto"/>
              <w:ind w:firstLine="0" w:firstLineChars="0"/>
              <w:jc w:val="center"/>
              <w:rPr>
                <w:rFonts w:cs="Times New Roman"/>
                <w:sz w:val="21"/>
                <w:szCs w:val="21"/>
              </w:rPr>
            </w:pPr>
            <w:r>
              <w:rPr>
                <w:rFonts w:cs="Times New Roman"/>
                <w:sz w:val="21"/>
                <w:szCs w:val="21"/>
              </w:rPr>
              <w:t>9</w:t>
            </w:r>
          </w:p>
        </w:tc>
        <w:tc>
          <w:tcPr>
            <w:tcW w:w="993" w:type="dxa"/>
            <w:vAlign w:val="center"/>
          </w:tcPr>
          <w:p>
            <w:pPr>
              <w:spacing w:line="240" w:lineRule="auto"/>
              <w:ind w:firstLine="0" w:firstLineChars="0"/>
              <w:jc w:val="center"/>
              <w:rPr>
                <w:rFonts w:cs="Times New Roman"/>
                <w:sz w:val="21"/>
                <w:szCs w:val="21"/>
              </w:rPr>
            </w:pPr>
            <w:r>
              <w:rPr>
                <w:rFonts w:cs="Times New Roman"/>
                <w:sz w:val="21"/>
                <w:szCs w:val="21"/>
              </w:rPr>
              <w:t>腰庄乡</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16</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2627</w:t>
            </w:r>
          </w:p>
        </w:tc>
        <w:tc>
          <w:tcPr>
            <w:tcW w:w="5124" w:type="dxa"/>
            <w:vAlign w:val="center"/>
          </w:tcPr>
          <w:p>
            <w:pPr>
              <w:spacing w:line="240" w:lineRule="auto"/>
              <w:ind w:firstLine="0" w:firstLineChars="0"/>
              <w:rPr>
                <w:rFonts w:cs="Times New Roman"/>
                <w:sz w:val="21"/>
                <w:szCs w:val="21"/>
              </w:rPr>
            </w:pPr>
            <w:r>
              <w:rPr>
                <w:rFonts w:cs="Times New Roman"/>
                <w:sz w:val="21"/>
                <w:szCs w:val="21"/>
              </w:rPr>
              <w:t>白家墕村、代家沟、年延村、郭家峁、铺房墕、冀家沟、腰庄村、冀家峁、后芦子村、可王家里、马铺头、赵家峁、外盘塔村、孙家墕、路家沟、讲家沟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675" w:type="dxa"/>
            <w:vAlign w:val="center"/>
          </w:tcPr>
          <w:p>
            <w:pPr>
              <w:spacing w:line="240" w:lineRule="auto"/>
              <w:ind w:firstLine="0" w:firstLineChars="0"/>
              <w:jc w:val="center"/>
              <w:rPr>
                <w:rFonts w:cs="Times New Roman"/>
                <w:sz w:val="21"/>
                <w:szCs w:val="21"/>
              </w:rPr>
            </w:pPr>
            <w:r>
              <w:rPr>
                <w:rFonts w:cs="Times New Roman"/>
                <w:sz w:val="21"/>
                <w:szCs w:val="21"/>
              </w:rPr>
              <w:t>10</w:t>
            </w:r>
          </w:p>
        </w:tc>
        <w:tc>
          <w:tcPr>
            <w:tcW w:w="993" w:type="dxa"/>
            <w:vAlign w:val="center"/>
          </w:tcPr>
          <w:p>
            <w:pPr>
              <w:spacing w:line="240" w:lineRule="auto"/>
              <w:ind w:firstLine="0" w:firstLineChars="0"/>
              <w:jc w:val="center"/>
              <w:rPr>
                <w:rFonts w:cs="Times New Roman"/>
                <w:sz w:val="21"/>
                <w:szCs w:val="21"/>
              </w:rPr>
            </w:pPr>
            <w:r>
              <w:rPr>
                <w:rFonts w:cs="Times New Roman"/>
                <w:sz w:val="21"/>
                <w:szCs w:val="21"/>
              </w:rPr>
              <w:t>韩家川乡</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11</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1102</w:t>
            </w:r>
          </w:p>
        </w:tc>
        <w:tc>
          <w:tcPr>
            <w:tcW w:w="5124" w:type="dxa"/>
            <w:vAlign w:val="center"/>
          </w:tcPr>
          <w:p>
            <w:pPr>
              <w:spacing w:line="240" w:lineRule="auto"/>
              <w:ind w:firstLine="0" w:firstLineChars="0"/>
              <w:rPr>
                <w:rFonts w:cs="Times New Roman"/>
                <w:sz w:val="21"/>
                <w:szCs w:val="21"/>
              </w:rPr>
            </w:pPr>
            <w:r>
              <w:rPr>
                <w:rFonts w:cs="Times New Roman"/>
                <w:sz w:val="21"/>
                <w:szCs w:val="21"/>
              </w:rPr>
              <w:t>韩家川村、柴</w:t>
            </w:r>
            <w:r>
              <w:rPr>
                <w:rFonts w:hint="eastAsia" w:cs="Times New Roman"/>
                <w:sz w:val="21"/>
                <w:szCs w:val="21"/>
              </w:rPr>
              <w:t>家</w:t>
            </w:r>
            <w:r>
              <w:rPr>
                <w:rFonts w:cs="Times New Roman"/>
                <w:sz w:val="21"/>
                <w:szCs w:val="21"/>
              </w:rPr>
              <w:t>湾村、猯窝村、下塔村、豆塔村、赵家庄村、官局村、墕头村、寨沟村、沙坪村、桑元塔村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0" w:hRule="atLeast"/>
        </w:trPr>
        <w:tc>
          <w:tcPr>
            <w:tcW w:w="675" w:type="dxa"/>
            <w:vAlign w:val="center"/>
          </w:tcPr>
          <w:p>
            <w:pPr>
              <w:spacing w:line="240" w:lineRule="auto"/>
              <w:ind w:firstLine="0" w:firstLineChars="0"/>
              <w:jc w:val="center"/>
              <w:rPr>
                <w:rFonts w:cs="Times New Roman"/>
                <w:sz w:val="21"/>
                <w:szCs w:val="21"/>
              </w:rPr>
            </w:pPr>
            <w:r>
              <w:rPr>
                <w:rFonts w:cs="Times New Roman"/>
                <w:sz w:val="21"/>
                <w:szCs w:val="21"/>
              </w:rPr>
              <w:t>11</w:t>
            </w:r>
          </w:p>
        </w:tc>
        <w:tc>
          <w:tcPr>
            <w:tcW w:w="993" w:type="dxa"/>
            <w:vAlign w:val="center"/>
          </w:tcPr>
          <w:p>
            <w:pPr>
              <w:spacing w:line="240" w:lineRule="auto"/>
              <w:ind w:firstLine="0" w:firstLineChars="0"/>
              <w:jc w:val="center"/>
              <w:rPr>
                <w:rFonts w:cs="Times New Roman"/>
                <w:sz w:val="21"/>
                <w:szCs w:val="21"/>
              </w:rPr>
            </w:pPr>
            <w:r>
              <w:rPr>
                <w:rFonts w:cs="Times New Roman"/>
                <w:sz w:val="21"/>
                <w:szCs w:val="21"/>
              </w:rPr>
              <w:t>孙家沟乡</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20</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1565</w:t>
            </w:r>
          </w:p>
        </w:tc>
        <w:tc>
          <w:tcPr>
            <w:tcW w:w="5124" w:type="dxa"/>
            <w:vAlign w:val="center"/>
          </w:tcPr>
          <w:p>
            <w:pPr>
              <w:spacing w:line="240" w:lineRule="auto"/>
              <w:ind w:firstLine="0" w:firstLineChars="0"/>
              <w:rPr>
                <w:rFonts w:cs="Times New Roman"/>
                <w:sz w:val="21"/>
                <w:szCs w:val="21"/>
              </w:rPr>
            </w:pPr>
            <w:r>
              <w:rPr>
                <w:rFonts w:cs="Times New Roman"/>
                <w:sz w:val="21"/>
                <w:szCs w:val="21"/>
              </w:rPr>
              <w:t>秦家寨村、付家圪台村、新畦村、化树塔村、郭家辿村、土门村、张家沟村、袁家庄村、苇树局村、羊路河村、牧塔村、孙家沟村、王偏梁村、青草沟村、桑</w:t>
            </w:r>
            <w:r>
              <w:rPr>
                <w:rFonts w:hint="eastAsia" w:cs="Times New Roman"/>
                <w:sz w:val="21"/>
                <w:szCs w:val="21"/>
              </w:rPr>
              <w:t>林</w:t>
            </w:r>
            <w:r>
              <w:rPr>
                <w:rFonts w:cs="Times New Roman"/>
                <w:sz w:val="21"/>
                <w:szCs w:val="21"/>
              </w:rPr>
              <w:t>村、郝家塔村、木瓜耳村、北山村、沟底塔村、杜家塔村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trPr>
        <w:tc>
          <w:tcPr>
            <w:tcW w:w="675" w:type="dxa"/>
            <w:vAlign w:val="center"/>
          </w:tcPr>
          <w:p>
            <w:pPr>
              <w:spacing w:line="240" w:lineRule="auto"/>
              <w:ind w:firstLine="0" w:firstLineChars="0"/>
              <w:jc w:val="center"/>
              <w:rPr>
                <w:rFonts w:cs="Times New Roman"/>
                <w:sz w:val="21"/>
                <w:szCs w:val="21"/>
              </w:rPr>
            </w:pPr>
            <w:r>
              <w:rPr>
                <w:rFonts w:cs="Times New Roman"/>
                <w:sz w:val="21"/>
                <w:szCs w:val="21"/>
              </w:rPr>
              <w:t>12</w:t>
            </w:r>
          </w:p>
        </w:tc>
        <w:tc>
          <w:tcPr>
            <w:tcW w:w="993" w:type="dxa"/>
            <w:vAlign w:val="center"/>
          </w:tcPr>
          <w:p>
            <w:pPr>
              <w:spacing w:line="240" w:lineRule="auto"/>
              <w:ind w:firstLine="0" w:firstLineChars="0"/>
              <w:jc w:val="center"/>
              <w:rPr>
                <w:rFonts w:cs="Times New Roman"/>
                <w:sz w:val="21"/>
                <w:szCs w:val="21"/>
              </w:rPr>
            </w:pPr>
            <w:r>
              <w:rPr>
                <w:rFonts w:cs="Times New Roman"/>
                <w:sz w:val="21"/>
                <w:szCs w:val="21"/>
              </w:rPr>
              <w:t>窑洼乡</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9</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1240</w:t>
            </w:r>
          </w:p>
        </w:tc>
        <w:tc>
          <w:tcPr>
            <w:tcW w:w="5124" w:type="dxa"/>
            <w:vAlign w:val="center"/>
          </w:tcPr>
          <w:p>
            <w:pPr>
              <w:spacing w:line="240" w:lineRule="auto"/>
              <w:ind w:firstLine="0" w:firstLineChars="0"/>
              <w:rPr>
                <w:rFonts w:cs="Times New Roman"/>
                <w:sz w:val="21"/>
                <w:szCs w:val="21"/>
              </w:rPr>
            </w:pPr>
            <w:r>
              <w:rPr>
                <w:rFonts w:cs="Times New Roman"/>
                <w:sz w:val="21"/>
                <w:szCs w:val="21"/>
              </w:rPr>
              <w:t>大塔铺村、窑洼村、官地坪村、曹虎村、庙沟、王家庄、首沟村、道座山村、科局村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3" w:hRule="atLeast"/>
        </w:trPr>
        <w:tc>
          <w:tcPr>
            <w:tcW w:w="675" w:type="dxa"/>
            <w:vAlign w:val="center"/>
          </w:tcPr>
          <w:p>
            <w:pPr>
              <w:spacing w:line="240" w:lineRule="auto"/>
              <w:ind w:firstLine="0" w:firstLineChars="0"/>
              <w:jc w:val="center"/>
              <w:rPr>
                <w:rFonts w:cs="Times New Roman"/>
                <w:sz w:val="21"/>
                <w:szCs w:val="21"/>
              </w:rPr>
            </w:pPr>
            <w:r>
              <w:rPr>
                <w:rFonts w:cs="Times New Roman"/>
                <w:sz w:val="21"/>
                <w:szCs w:val="21"/>
              </w:rPr>
              <w:t>13</w:t>
            </w:r>
          </w:p>
        </w:tc>
        <w:tc>
          <w:tcPr>
            <w:tcW w:w="993" w:type="dxa"/>
            <w:vAlign w:val="center"/>
          </w:tcPr>
          <w:p>
            <w:pPr>
              <w:spacing w:line="240" w:lineRule="auto"/>
              <w:ind w:firstLine="0" w:firstLineChars="0"/>
              <w:jc w:val="center"/>
              <w:rPr>
                <w:rFonts w:cs="Times New Roman"/>
                <w:sz w:val="21"/>
                <w:szCs w:val="21"/>
              </w:rPr>
            </w:pPr>
            <w:r>
              <w:rPr>
                <w:rFonts w:cs="Times New Roman"/>
                <w:sz w:val="21"/>
                <w:szCs w:val="21"/>
              </w:rPr>
              <w:t>窑圪台乡</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10</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1150</w:t>
            </w:r>
          </w:p>
        </w:tc>
        <w:tc>
          <w:tcPr>
            <w:tcW w:w="5124" w:type="dxa"/>
            <w:vAlign w:val="center"/>
          </w:tcPr>
          <w:p>
            <w:pPr>
              <w:spacing w:line="240" w:lineRule="auto"/>
              <w:ind w:firstLine="0" w:firstLineChars="0"/>
              <w:rPr>
                <w:rFonts w:cs="Times New Roman"/>
                <w:sz w:val="21"/>
                <w:szCs w:val="21"/>
              </w:rPr>
            </w:pPr>
            <w:r>
              <w:rPr>
                <w:rFonts w:cs="Times New Roman"/>
                <w:sz w:val="21"/>
                <w:szCs w:val="21"/>
              </w:rPr>
              <w:t>五楼沟村、闫家坪村、窑圪台村、郝沟坪村、吾吉耳村、丛岭沟村、银子塔村、张家窑洼村、孙家山村、红花塔村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75" w:type="dxa"/>
            <w:vAlign w:val="center"/>
          </w:tcPr>
          <w:p>
            <w:pPr>
              <w:spacing w:line="240" w:lineRule="auto"/>
              <w:ind w:firstLine="0" w:firstLineChars="0"/>
              <w:jc w:val="center"/>
              <w:rPr>
                <w:rFonts w:cs="Times New Roman"/>
                <w:sz w:val="21"/>
                <w:szCs w:val="21"/>
              </w:rPr>
            </w:pPr>
            <w:r>
              <w:rPr>
                <w:rFonts w:cs="Times New Roman"/>
                <w:sz w:val="21"/>
                <w:szCs w:val="21"/>
              </w:rPr>
              <w:t>合计</w:t>
            </w:r>
          </w:p>
        </w:tc>
        <w:tc>
          <w:tcPr>
            <w:tcW w:w="2127" w:type="dxa"/>
            <w:gridSpan w:val="2"/>
            <w:vAlign w:val="center"/>
          </w:tcPr>
          <w:p>
            <w:pPr>
              <w:spacing w:line="240" w:lineRule="auto"/>
              <w:ind w:firstLine="0" w:firstLineChars="0"/>
              <w:jc w:val="center"/>
              <w:rPr>
                <w:rFonts w:cs="Times New Roman"/>
                <w:sz w:val="21"/>
                <w:szCs w:val="21"/>
              </w:rPr>
            </w:pPr>
            <w:r>
              <w:rPr>
                <w:rFonts w:cs="Times New Roman"/>
                <w:sz w:val="21"/>
                <w:szCs w:val="21"/>
              </w:rPr>
              <w:t>221</w:t>
            </w:r>
          </w:p>
        </w:tc>
        <w:tc>
          <w:tcPr>
            <w:tcW w:w="1134" w:type="dxa"/>
            <w:vAlign w:val="center"/>
          </w:tcPr>
          <w:p>
            <w:pPr>
              <w:spacing w:line="240" w:lineRule="auto"/>
              <w:ind w:firstLine="0" w:firstLineChars="0"/>
              <w:jc w:val="center"/>
              <w:rPr>
                <w:rFonts w:cs="Times New Roman"/>
                <w:sz w:val="21"/>
                <w:szCs w:val="21"/>
              </w:rPr>
            </w:pPr>
            <w:r>
              <w:rPr>
                <w:rFonts w:cs="Times New Roman"/>
                <w:sz w:val="21"/>
                <w:szCs w:val="21"/>
              </w:rPr>
              <w:t>50322</w:t>
            </w:r>
          </w:p>
        </w:tc>
        <w:tc>
          <w:tcPr>
            <w:tcW w:w="5124" w:type="dxa"/>
            <w:vAlign w:val="center"/>
          </w:tcPr>
          <w:p>
            <w:pPr>
              <w:spacing w:line="240" w:lineRule="auto"/>
              <w:ind w:firstLine="0" w:firstLineChars="0"/>
              <w:jc w:val="center"/>
              <w:rPr>
                <w:rFonts w:cs="Times New Roman"/>
                <w:sz w:val="21"/>
                <w:szCs w:val="21"/>
              </w:rPr>
            </w:pPr>
          </w:p>
        </w:tc>
      </w:tr>
    </w:tbl>
    <w:p>
      <w:pPr>
        <w:pStyle w:val="16"/>
        <w:ind w:firstLine="420"/>
        <w:rPr>
          <w:rFonts w:eastAsia="黑体" w:cs="Times New Roman"/>
          <w:b w:val="0"/>
          <w:bCs/>
        </w:rPr>
      </w:pPr>
      <w:r>
        <w:rPr>
          <w:rFonts w:eastAsia="黑体" w:cs="Times New Roman"/>
          <w:b w:val="0"/>
          <w:bCs/>
        </w:rPr>
        <w:t>表2</w:t>
      </w:r>
      <w:r>
        <w:rPr>
          <w:rFonts w:eastAsia="黑体" w:cs="Times New Roman"/>
          <w:b w:val="0"/>
          <w:bCs/>
        </w:rPr>
        <w:noBreakHyphen/>
      </w:r>
      <w:r>
        <w:rPr>
          <w:rFonts w:eastAsia="黑体" w:cs="Times New Roman"/>
          <w:b w:val="0"/>
          <w:bCs/>
        </w:rPr>
        <w:t>2  保德县各乡镇2020年常住人口数</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1"/>
        <w:gridCol w:w="1613"/>
        <w:gridCol w:w="1339"/>
        <w:gridCol w:w="1614"/>
        <w:gridCol w:w="1451"/>
        <w:gridCol w:w="16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东关镇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0"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739"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1"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801"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89"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大黄坡村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100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新窑村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125</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康家塔村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新庄子村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142</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刘家</w:t>
            </w:r>
            <w:r>
              <w:rPr>
                <w:rFonts w:hint="eastAsia" w:eastAsia="微软雅黑" w:cs="Times New Roman"/>
                <w:kern w:val="0"/>
                <w:sz w:val="21"/>
                <w:szCs w:val="21"/>
              </w:rPr>
              <w:t>墕</w:t>
            </w:r>
            <w:r>
              <w:rPr>
                <w:rFonts w:eastAsia="微软雅黑" w:cs="Times New Roman"/>
                <w:kern w:val="0"/>
                <w:sz w:val="21"/>
                <w:szCs w:val="21"/>
              </w:rPr>
              <w:t>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68</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大烟墩村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大树梁村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71</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西南沟村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320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陈家梁村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城内村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420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麻堰村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163</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铁匠铺村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郭家滩村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5800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佘家梁村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122</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前芦子沟</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马家洼村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550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康家滩村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1150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后沟村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739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陈家塔村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380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庙梁村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768</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张家圪</w:t>
            </w:r>
            <w:r>
              <w:rPr>
                <w:rFonts w:hint="eastAsia" w:eastAsia="微软雅黑" w:cs="Times New Roman"/>
                <w:kern w:val="0"/>
                <w:sz w:val="21"/>
                <w:szCs w:val="21"/>
              </w:rPr>
              <w:t>坨</w:t>
            </w:r>
            <w:r>
              <w:rPr>
                <w:rFonts w:eastAsia="微软雅黑" w:cs="Times New Roman"/>
                <w:kern w:val="0"/>
                <w:sz w:val="21"/>
                <w:szCs w:val="21"/>
              </w:rPr>
              <w:t>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690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王家滩村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2300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马家滩村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5600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hint="eastAsia" w:eastAsia="微软雅黑" w:cs="Times New Roman"/>
                <w:kern w:val="0"/>
                <w:sz w:val="21"/>
                <w:szCs w:val="21"/>
              </w:rPr>
              <w:t>王家窨子</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hint="eastAsia" w:eastAsia="微软雅黑" w:cs="Times New Roman"/>
                <w:kern w:val="0"/>
                <w:sz w:val="21"/>
                <w:szCs w:val="21"/>
              </w:rPr>
              <w:t>搬迁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林遮峪乡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0"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739"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1"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801"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89"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刘家塔村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60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南里村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140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林遮峪村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后村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380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沙里</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120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苇耳梁村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霍家塔</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50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郝家庄村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46</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下川坪村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杜家峁村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80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元家山村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160</w:t>
            </w:r>
          </w:p>
        </w:tc>
        <w:tc>
          <w:tcPr>
            <w:tcW w:w="801" w:type="pct"/>
            <w:noWrap/>
            <w:vAlign w:val="center"/>
          </w:tcPr>
          <w:p>
            <w:pPr>
              <w:spacing w:line="240" w:lineRule="auto"/>
              <w:ind w:firstLine="0" w:firstLineChars="0"/>
              <w:jc w:val="center"/>
              <w:rPr>
                <w:rFonts w:eastAsia="微软雅黑" w:cs="Times New Roman"/>
                <w:kern w:val="0"/>
                <w:sz w:val="21"/>
                <w:szCs w:val="21"/>
              </w:rPr>
            </w:pPr>
          </w:p>
        </w:tc>
        <w:tc>
          <w:tcPr>
            <w:tcW w:w="889" w:type="pct"/>
            <w:noWrap/>
            <w:vAlign w:val="center"/>
          </w:tcPr>
          <w:p>
            <w:pPr>
              <w:spacing w:line="240" w:lineRule="auto"/>
              <w:ind w:firstLine="0" w:firstLineChars="0"/>
              <w:jc w:val="center"/>
              <w:rPr>
                <w:rFonts w:eastAsia="微软雅黑"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pPr>
              <w:spacing w:line="240" w:lineRule="auto"/>
              <w:ind w:firstLine="0" w:firstLineChars="0"/>
              <w:jc w:val="center"/>
              <w:rPr>
                <w:rFonts w:eastAsia="微软雅黑" w:cs="Times New Roman"/>
                <w:kern w:val="0"/>
                <w:sz w:val="21"/>
                <w:szCs w:val="21"/>
              </w:rPr>
            </w:pPr>
            <w:r>
              <w:rPr>
                <w:rFonts w:eastAsia="黑体" w:cs="Times New Roman"/>
                <w:kern w:val="0"/>
                <w:sz w:val="21"/>
                <w:szCs w:val="21"/>
              </w:rPr>
              <w:t>土崖塔乡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0"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739"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1"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801"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89"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乔家塔</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70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路家局</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50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武家塔</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王家坡</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26</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依杏塔村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50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土崖塔</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姜家庄</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50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寨上</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80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西山头</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安家山</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50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党家里</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60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西梁</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pPr>
              <w:spacing w:line="240" w:lineRule="auto"/>
              <w:ind w:firstLine="0" w:firstLineChars="0"/>
              <w:jc w:val="center"/>
              <w:rPr>
                <w:rFonts w:eastAsia="微软雅黑" w:cs="Times New Roman"/>
                <w:kern w:val="0"/>
                <w:sz w:val="21"/>
                <w:szCs w:val="21"/>
              </w:rPr>
            </w:pPr>
            <w:r>
              <w:rPr>
                <w:rFonts w:eastAsia="黑体" w:cs="Times New Roman"/>
                <w:kern w:val="0"/>
                <w:sz w:val="21"/>
                <w:szCs w:val="21"/>
              </w:rPr>
              <w:t>冯家川乡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0"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739"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1"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801"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89"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神山村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300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龙驼沟村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180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王家辿村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后川村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183</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翟家塔村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120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武家沟村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孙家里村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50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冯家川村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280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沙坪</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pPr>
              <w:spacing w:line="240" w:lineRule="auto"/>
              <w:ind w:firstLine="0" w:firstLineChars="0"/>
              <w:jc w:val="center"/>
              <w:rPr>
                <w:rFonts w:eastAsia="微软雅黑" w:cs="Times New Roman"/>
                <w:kern w:val="0"/>
                <w:sz w:val="21"/>
                <w:szCs w:val="21"/>
              </w:rPr>
            </w:pPr>
            <w:r>
              <w:rPr>
                <w:rFonts w:eastAsia="黑体" w:cs="Times New Roman"/>
                <w:kern w:val="0"/>
                <w:sz w:val="21"/>
                <w:szCs w:val="21"/>
              </w:rPr>
              <w:t>南河沟乡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0"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739"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1"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801"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89"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杏岭</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60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石桥塔村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40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姚家焉</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刘家焉</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130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禅房</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40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李家湾</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中焉</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30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四井头</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40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白家沟</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丁家塔</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40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吉利坪</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50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韩家塔</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尚家塔</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60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偏桥</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40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大塔村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南河沟</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300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秦家河村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40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扒楼沟</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寨墕</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60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韩家焉村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9</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刘家坡</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杨家沟</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70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雷家峁村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12</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营村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东庄墕村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30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舍尔塔</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30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hint="eastAsia" w:eastAsia="微软雅黑" w:cs="Times New Roman"/>
                <w:kern w:val="0"/>
                <w:sz w:val="21"/>
                <w:szCs w:val="21"/>
              </w:rPr>
              <w:t>柳</w:t>
            </w:r>
            <w:r>
              <w:rPr>
                <w:rFonts w:eastAsia="微软雅黑" w:cs="Times New Roman"/>
                <w:kern w:val="0"/>
                <w:sz w:val="21"/>
                <w:szCs w:val="21"/>
              </w:rPr>
              <w:t>树沟</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noWrap/>
            <w:vAlign w:val="center"/>
          </w:tcPr>
          <w:p>
            <w:pPr>
              <w:spacing w:line="240" w:lineRule="auto"/>
              <w:ind w:firstLine="0" w:firstLineChars="0"/>
              <w:jc w:val="center"/>
              <w:rPr>
                <w:rFonts w:eastAsia="微软雅黑" w:cs="Times New Roman"/>
                <w:kern w:val="0"/>
                <w:sz w:val="21"/>
                <w:szCs w:val="21"/>
              </w:rPr>
            </w:pPr>
            <w:r>
              <w:rPr>
                <w:rFonts w:eastAsia="黑体" w:cs="Times New Roman"/>
                <w:kern w:val="0"/>
                <w:sz w:val="21"/>
                <w:szCs w:val="21"/>
              </w:rPr>
              <w:t>腰庄乡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0" w:type="pct"/>
            <w:noWrap/>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739" w:type="pct"/>
            <w:noWrap/>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1" w:type="pct"/>
            <w:noWrap/>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801" w:type="pct"/>
            <w:noWrap/>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89" w:type="pct"/>
            <w:noWrap/>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白家墕村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198</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腰庄村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642</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外盘塔村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代家沟</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70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冀家峁</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100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孙家墕</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年延村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120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后芦子村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430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路家沟</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郭家峁</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73</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可王家里</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172</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讲家沟</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铺房墕</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120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马铺头</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26</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赵家峁</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冀家沟</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52</w:t>
            </w:r>
          </w:p>
        </w:tc>
        <w:tc>
          <w:tcPr>
            <w:tcW w:w="739" w:type="pct"/>
            <w:noWrap/>
            <w:vAlign w:val="center"/>
          </w:tcPr>
          <w:p>
            <w:pPr>
              <w:spacing w:line="240" w:lineRule="auto"/>
              <w:ind w:firstLine="0" w:firstLineChars="0"/>
              <w:jc w:val="center"/>
              <w:rPr>
                <w:rFonts w:eastAsia="微软雅黑" w:cs="Times New Roman"/>
                <w:kern w:val="0"/>
                <w:sz w:val="21"/>
                <w:szCs w:val="21"/>
              </w:rPr>
            </w:pPr>
          </w:p>
        </w:tc>
        <w:tc>
          <w:tcPr>
            <w:tcW w:w="891" w:type="pct"/>
            <w:noWrap/>
            <w:vAlign w:val="center"/>
          </w:tcPr>
          <w:p>
            <w:pPr>
              <w:spacing w:line="240" w:lineRule="auto"/>
              <w:ind w:firstLine="0" w:firstLineChars="0"/>
              <w:jc w:val="center"/>
              <w:rPr>
                <w:rFonts w:eastAsia="微软雅黑" w:cs="Times New Roman"/>
                <w:kern w:val="0"/>
                <w:sz w:val="21"/>
                <w:szCs w:val="21"/>
              </w:rPr>
            </w:pPr>
          </w:p>
        </w:tc>
        <w:tc>
          <w:tcPr>
            <w:tcW w:w="801" w:type="pct"/>
            <w:noWrap/>
            <w:vAlign w:val="center"/>
          </w:tcPr>
          <w:p>
            <w:pPr>
              <w:spacing w:line="240" w:lineRule="auto"/>
              <w:ind w:firstLine="0" w:firstLineChars="0"/>
              <w:jc w:val="center"/>
              <w:rPr>
                <w:rFonts w:eastAsia="微软雅黑" w:cs="Times New Roman"/>
                <w:kern w:val="0"/>
                <w:sz w:val="21"/>
                <w:szCs w:val="21"/>
              </w:rPr>
            </w:pPr>
          </w:p>
        </w:tc>
        <w:tc>
          <w:tcPr>
            <w:tcW w:w="889" w:type="pct"/>
            <w:noWrap/>
            <w:vAlign w:val="center"/>
          </w:tcPr>
          <w:p>
            <w:pPr>
              <w:spacing w:line="240" w:lineRule="auto"/>
              <w:ind w:firstLine="0" w:firstLineChars="0"/>
              <w:jc w:val="center"/>
              <w:rPr>
                <w:rFonts w:eastAsia="微软雅黑"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noWrap/>
            <w:vAlign w:val="center"/>
          </w:tcPr>
          <w:p>
            <w:pPr>
              <w:spacing w:line="240" w:lineRule="auto"/>
              <w:ind w:firstLine="0" w:firstLineChars="0"/>
              <w:jc w:val="center"/>
              <w:rPr>
                <w:rFonts w:eastAsia="微软雅黑" w:cs="Times New Roman"/>
                <w:kern w:val="0"/>
                <w:sz w:val="21"/>
                <w:szCs w:val="21"/>
              </w:rPr>
            </w:pPr>
            <w:r>
              <w:rPr>
                <w:rFonts w:eastAsia="黑体" w:cs="Times New Roman"/>
                <w:kern w:val="0"/>
                <w:sz w:val="21"/>
                <w:szCs w:val="21"/>
              </w:rPr>
              <w:t>桥头镇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0" w:type="pct"/>
            <w:noWrap/>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739" w:type="pct"/>
            <w:noWrap/>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1" w:type="pct"/>
            <w:noWrap/>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801" w:type="pct"/>
            <w:noWrap/>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89" w:type="pct"/>
            <w:noWrap/>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井道沟村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66</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桑园村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108</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东局村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涧沟村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381</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杨家峁村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72</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深沟村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桥头村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1020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石堎村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180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桥沟村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吴家梁村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76</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石棱湾村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103</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石塘村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白家庄村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230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刘家洼村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182</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马蹄罕村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见虎焉村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124</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郝家里村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263</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王家里村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苏家里村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53</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炭峪沟村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133</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张家寨村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夏柳青村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620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孙家墕村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215</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韩家塔村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236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hint="eastAsia" w:eastAsia="微软雅黑" w:cs="Times New Roman"/>
                <w:kern w:val="0"/>
                <w:sz w:val="21"/>
                <w:szCs w:val="21"/>
              </w:rPr>
              <w:t>铨</w:t>
            </w:r>
            <w:r>
              <w:rPr>
                <w:rFonts w:eastAsia="微软雅黑" w:cs="Times New Roman"/>
                <w:kern w:val="0"/>
                <w:sz w:val="21"/>
                <w:szCs w:val="21"/>
              </w:rPr>
              <w:t>家坪村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53</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枣林村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120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薛塔村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308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pPr>
              <w:spacing w:line="240" w:lineRule="auto"/>
              <w:ind w:firstLine="0" w:firstLineChars="0"/>
              <w:jc w:val="center"/>
              <w:rPr>
                <w:rFonts w:eastAsia="微软雅黑" w:cs="Times New Roman"/>
                <w:kern w:val="0"/>
                <w:sz w:val="21"/>
                <w:szCs w:val="21"/>
              </w:rPr>
            </w:pPr>
            <w:r>
              <w:rPr>
                <w:rFonts w:eastAsia="黑体" w:cs="Times New Roman"/>
                <w:kern w:val="0"/>
                <w:sz w:val="21"/>
                <w:szCs w:val="21"/>
              </w:rPr>
              <w:t>杨家湾镇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0"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739"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1"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801"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89"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太平头村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40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后会村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100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石洼村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段家沟村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260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杨家湾村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500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山头村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霍家梁村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110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郭家湾村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46</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崔家墕村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孙家梁村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140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稻畦村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80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李家峁村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王家洼村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80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崔家湾村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100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花园村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故城村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320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余铁村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123</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前会村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noWrap/>
            <w:vAlign w:val="center"/>
          </w:tcPr>
          <w:p>
            <w:pPr>
              <w:spacing w:line="240" w:lineRule="auto"/>
              <w:ind w:firstLine="0" w:firstLineChars="0"/>
              <w:jc w:val="center"/>
              <w:rPr>
                <w:rFonts w:eastAsia="微软雅黑" w:cs="Times New Roman"/>
                <w:kern w:val="0"/>
                <w:sz w:val="21"/>
                <w:szCs w:val="21"/>
              </w:rPr>
            </w:pPr>
            <w:r>
              <w:rPr>
                <w:rFonts w:eastAsia="黑体" w:cs="Times New Roman"/>
                <w:kern w:val="0"/>
                <w:sz w:val="21"/>
                <w:szCs w:val="21"/>
              </w:rPr>
              <w:t>韩家川乡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0" w:type="pct"/>
            <w:noWrap/>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739" w:type="pct"/>
            <w:noWrap/>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1" w:type="pct"/>
            <w:noWrap/>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801" w:type="pct"/>
            <w:noWrap/>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89" w:type="pct"/>
            <w:noWrap/>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韩家川村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400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赵家庄村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100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沙坪村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柴</w:t>
            </w:r>
            <w:r>
              <w:rPr>
                <w:rFonts w:hint="eastAsia" w:eastAsia="微软雅黑" w:cs="Times New Roman"/>
                <w:kern w:val="0"/>
                <w:sz w:val="21"/>
                <w:szCs w:val="20"/>
              </w:rPr>
              <w:t>家·</w:t>
            </w:r>
            <w:r>
              <w:rPr>
                <w:rFonts w:eastAsia="微软雅黑" w:cs="Times New Roman"/>
                <w:kern w:val="0"/>
                <w:sz w:val="21"/>
                <w:szCs w:val="20"/>
              </w:rPr>
              <w:t>湾村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80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官局村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60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桑元塔村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40-50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猯窝村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50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墕头村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54</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豆塔村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下塔村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100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寨沟村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100</w:t>
            </w:r>
          </w:p>
        </w:tc>
        <w:tc>
          <w:tcPr>
            <w:tcW w:w="801" w:type="pct"/>
            <w:noWrap/>
            <w:vAlign w:val="center"/>
          </w:tcPr>
          <w:p>
            <w:pPr>
              <w:spacing w:line="240" w:lineRule="auto"/>
              <w:ind w:firstLine="0" w:firstLineChars="0"/>
              <w:jc w:val="center"/>
              <w:rPr>
                <w:rFonts w:eastAsia="微软雅黑" w:cs="Times New Roman"/>
                <w:kern w:val="0"/>
                <w:sz w:val="21"/>
                <w:szCs w:val="21"/>
              </w:rPr>
            </w:pPr>
          </w:p>
        </w:tc>
        <w:tc>
          <w:tcPr>
            <w:tcW w:w="889" w:type="pct"/>
            <w:noWrap/>
            <w:vAlign w:val="center"/>
          </w:tcPr>
          <w:p>
            <w:pPr>
              <w:spacing w:line="240" w:lineRule="auto"/>
              <w:ind w:firstLine="0" w:firstLineChars="0"/>
              <w:jc w:val="center"/>
              <w:rPr>
                <w:rFonts w:eastAsia="微软雅黑"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pPr>
              <w:spacing w:line="240" w:lineRule="auto"/>
              <w:ind w:firstLine="0" w:firstLineChars="0"/>
              <w:jc w:val="center"/>
              <w:rPr>
                <w:rFonts w:eastAsia="微软雅黑" w:cs="Times New Roman"/>
                <w:kern w:val="0"/>
                <w:sz w:val="21"/>
                <w:szCs w:val="21"/>
              </w:rPr>
            </w:pPr>
            <w:r>
              <w:rPr>
                <w:rFonts w:eastAsia="黑体" w:cs="Times New Roman"/>
                <w:kern w:val="0"/>
                <w:sz w:val="21"/>
                <w:szCs w:val="21"/>
              </w:rPr>
              <w:t>孙家沟乡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0"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739"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1"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801"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89"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秦家寨村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100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羊路河村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100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沟底塔村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付家圪台村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100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牧塔村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400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杜家塔村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新畦村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80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孙家沟村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100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郝家塔村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化树塔村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70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王偏梁村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50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木瓜耳村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郭家辿村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30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青草沟村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40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北山村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土门村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50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桑</w:t>
            </w:r>
            <w:r>
              <w:rPr>
                <w:rFonts w:hint="eastAsia" w:eastAsia="微软雅黑" w:cs="Times New Roman"/>
                <w:kern w:val="0"/>
                <w:sz w:val="21"/>
                <w:szCs w:val="20"/>
              </w:rPr>
              <w:t>林·</w:t>
            </w:r>
            <w:r>
              <w:rPr>
                <w:rFonts w:eastAsia="微软雅黑" w:cs="Times New Roman"/>
                <w:kern w:val="0"/>
                <w:sz w:val="21"/>
                <w:szCs w:val="20"/>
              </w:rPr>
              <w:t>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53</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袁家庄村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张家沟村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100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苇树局村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40</w:t>
            </w:r>
          </w:p>
        </w:tc>
        <w:tc>
          <w:tcPr>
            <w:tcW w:w="801" w:type="pct"/>
            <w:noWrap/>
            <w:vAlign w:val="center"/>
          </w:tcPr>
          <w:p>
            <w:pPr>
              <w:spacing w:line="240" w:lineRule="auto"/>
              <w:ind w:firstLine="0" w:firstLineChars="0"/>
              <w:jc w:val="center"/>
              <w:rPr>
                <w:rFonts w:eastAsia="微软雅黑" w:cs="Times New Roman"/>
                <w:kern w:val="0"/>
                <w:sz w:val="21"/>
                <w:szCs w:val="21"/>
              </w:rPr>
            </w:pPr>
          </w:p>
        </w:tc>
        <w:tc>
          <w:tcPr>
            <w:tcW w:w="889" w:type="pct"/>
            <w:noWrap/>
            <w:vAlign w:val="center"/>
          </w:tcPr>
          <w:p>
            <w:pPr>
              <w:spacing w:line="240" w:lineRule="auto"/>
              <w:ind w:firstLine="0" w:firstLineChars="0"/>
              <w:jc w:val="center"/>
              <w:rPr>
                <w:rFonts w:eastAsia="微软雅黑"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pPr>
              <w:spacing w:line="240" w:lineRule="auto"/>
              <w:ind w:firstLine="0" w:firstLineChars="0"/>
              <w:jc w:val="center"/>
              <w:rPr>
                <w:rFonts w:eastAsia="微软雅黑" w:cs="Times New Roman"/>
                <w:kern w:val="0"/>
                <w:sz w:val="21"/>
                <w:szCs w:val="21"/>
              </w:rPr>
            </w:pPr>
            <w:r>
              <w:rPr>
                <w:rFonts w:eastAsia="黑体" w:cs="Times New Roman"/>
                <w:kern w:val="0"/>
                <w:sz w:val="21"/>
                <w:szCs w:val="21"/>
              </w:rPr>
              <w:t>窑洼乡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0"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739"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1"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801"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89"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大塔铺村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100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曹虎村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140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首沟村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窑洼村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330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庙沟</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80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道座山村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官地坪村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150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王家庄</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130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科局村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0"/>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pPr>
              <w:spacing w:line="240" w:lineRule="auto"/>
              <w:ind w:firstLine="0" w:firstLineChars="0"/>
              <w:jc w:val="center"/>
              <w:rPr>
                <w:rFonts w:eastAsia="微软雅黑" w:cs="Times New Roman"/>
                <w:kern w:val="0"/>
                <w:sz w:val="21"/>
                <w:szCs w:val="21"/>
              </w:rPr>
            </w:pPr>
            <w:r>
              <w:rPr>
                <w:rFonts w:eastAsia="黑体" w:cs="Times New Roman"/>
                <w:kern w:val="0"/>
                <w:sz w:val="21"/>
                <w:szCs w:val="21"/>
              </w:rPr>
              <w:t>窑圪台乡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0"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739"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1"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801"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89"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五楼沟村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100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郝沟坪村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100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银子塔村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闫家坪村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100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吾吉耳村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100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张家窑洼村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窑圪台村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110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丛岭沟村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150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孙家山村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color w:val="000000"/>
                <w:kern w:val="0"/>
                <w:sz w:val="21"/>
                <w:szCs w:val="21"/>
              </w:rPr>
              <w:t>红花塔村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color w:val="000000"/>
                <w:kern w:val="0"/>
                <w:sz w:val="21"/>
                <w:szCs w:val="21"/>
              </w:rPr>
              <w:t>100</w:t>
            </w:r>
          </w:p>
        </w:tc>
        <w:tc>
          <w:tcPr>
            <w:tcW w:w="739" w:type="pct"/>
            <w:noWrap/>
            <w:vAlign w:val="center"/>
          </w:tcPr>
          <w:p>
            <w:pPr>
              <w:spacing w:line="240" w:lineRule="auto"/>
              <w:ind w:firstLine="0" w:firstLineChars="0"/>
              <w:jc w:val="center"/>
              <w:rPr>
                <w:rFonts w:eastAsia="微软雅黑" w:cs="Times New Roman"/>
                <w:kern w:val="0"/>
                <w:sz w:val="21"/>
                <w:szCs w:val="21"/>
              </w:rPr>
            </w:pPr>
          </w:p>
        </w:tc>
        <w:tc>
          <w:tcPr>
            <w:tcW w:w="891" w:type="pct"/>
            <w:noWrap/>
            <w:vAlign w:val="center"/>
          </w:tcPr>
          <w:p>
            <w:pPr>
              <w:spacing w:line="240" w:lineRule="auto"/>
              <w:ind w:firstLine="0" w:firstLineChars="0"/>
              <w:jc w:val="center"/>
              <w:rPr>
                <w:rFonts w:eastAsia="微软雅黑" w:cs="Times New Roman"/>
                <w:kern w:val="0"/>
                <w:sz w:val="21"/>
                <w:szCs w:val="21"/>
              </w:rPr>
            </w:pPr>
          </w:p>
        </w:tc>
        <w:tc>
          <w:tcPr>
            <w:tcW w:w="801" w:type="pct"/>
            <w:noWrap/>
            <w:vAlign w:val="center"/>
          </w:tcPr>
          <w:p>
            <w:pPr>
              <w:spacing w:line="240" w:lineRule="auto"/>
              <w:ind w:firstLine="0" w:firstLineChars="0"/>
              <w:jc w:val="center"/>
              <w:rPr>
                <w:rFonts w:eastAsia="微软雅黑" w:cs="Times New Roman"/>
                <w:kern w:val="0"/>
                <w:sz w:val="21"/>
                <w:szCs w:val="21"/>
              </w:rPr>
            </w:pPr>
          </w:p>
        </w:tc>
        <w:tc>
          <w:tcPr>
            <w:tcW w:w="889" w:type="pct"/>
            <w:noWrap/>
            <w:vAlign w:val="center"/>
          </w:tcPr>
          <w:p>
            <w:pPr>
              <w:spacing w:line="240" w:lineRule="auto"/>
              <w:ind w:firstLine="0" w:firstLineChars="0"/>
              <w:jc w:val="center"/>
              <w:rPr>
                <w:rFonts w:eastAsia="微软雅黑"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pPr>
              <w:spacing w:line="240" w:lineRule="auto"/>
              <w:ind w:firstLine="0" w:firstLineChars="0"/>
              <w:jc w:val="center"/>
              <w:rPr>
                <w:rFonts w:eastAsia="微软雅黑" w:cs="Times New Roman"/>
                <w:kern w:val="0"/>
                <w:sz w:val="21"/>
                <w:szCs w:val="21"/>
              </w:rPr>
            </w:pPr>
            <w:r>
              <w:rPr>
                <w:rFonts w:eastAsia="黑体" w:cs="Times New Roman"/>
                <w:kern w:val="0"/>
                <w:sz w:val="21"/>
                <w:szCs w:val="21"/>
              </w:rPr>
              <w:t>义门镇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0"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739"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91"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801"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89" w:type="pc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雷家峁村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100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暖泉</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1550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贾家峁村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崔家堎村</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300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天桥村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350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张家峁村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小赵家沟</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120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刘家畔村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350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行宫焉村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赵家寨</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70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庙峁村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150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赵家沟</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hint="eastAsia" w:eastAsia="微软雅黑" w:cs="Times New Roman"/>
                <w:kern w:val="0"/>
                <w:sz w:val="21"/>
                <w:szCs w:val="21"/>
              </w:rPr>
              <w:t>刘</w:t>
            </w:r>
            <w:r>
              <w:rPr>
                <w:rFonts w:eastAsia="微软雅黑" w:cs="Times New Roman"/>
                <w:kern w:val="0"/>
                <w:sz w:val="21"/>
                <w:szCs w:val="21"/>
              </w:rPr>
              <w:t>家峁</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200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义门村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900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岳家沟</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王家焉</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500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梁家村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100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路家村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袁家里</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400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永泉村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150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荣家沟</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搬迁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康家沟</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200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团结村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130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武家塔</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搬迁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狄家焉</w:t>
            </w:r>
          </w:p>
        </w:tc>
        <w:tc>
          <w:tcPr>
            <w:tcW w:w="890"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160</w:t>
            </w:r>
          </w:p>
        </w:tc>
        <w:tc>
          <w:tcPr>
            <w:tcW w:w="73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岳家里村</w:t>
            </w:r>
          </w:p>
        </w:tc>
        <w:tc>
          <w:tcPr>
            <w:tcW w:w="89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530</w:t>
            </w:r>
          </w:p>
        </w:tc>
        <w:tc>
          <w:tcPr>
            <w:tcW w:w="801"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南峁村</w:t>
            </w:r>
          </w:p>
        </w:tc>
        <w:tc>
          <w:tcPr>
            <w:tcW w:w="889" w:type="pct"/>
            <w:noWrap/>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搬迁</w:t>
            </w:r>
          </w:p>
        </w:tc>
      </w:tr>
    </w:tbl>
    <w:p>
      <w:pPr>
        <w:ind w:firstLine="0" w:firstLineChars="0"/>
        <w:rPr>
          <w:rFonts w:cs="Times New Roman"/>
        </w:rPr>
      </w:pPr>
    </w:p>
    <w:p>
      <w:pPr>
        <w:pStyle w:val="8"/>
        <w:rPr>
          <w:rFonts w:ascii="Times New Roman" w:hAnsi="Times New Roman" w:cs="Times New Roman"/>
        </w:rPr>
      </w:pPr>
      <w:r>
        <w:rPr>
          <w:rFonts w:ascii="Times New Roman" w:hAnsi="Times New Roman" w:cs="Times New Roman"/>
        </w:rPr>
        <w:t>2.2.3 经济状况</w:t>
      </w:r>
    </w:p>
    <w:p>
      <w:pPr>
        <w:spacing w:line="360" w:lineRule="auto"/>
        <w:ind w:firstLine="480"/>
        <w:rPr>
          <w:rFonts w:cs="Times New Roman"/>
        </w:rPr>
      </w:pPr>
      <w:r>
        <w:rPr>
          <w:rFonts w:cs="Times New Roman"/>
        </w:rPr>
        <w:t>2019年，保德县实现地区生产总值（GDP）83.7231亿元，总量居忻州市第4位，按可比价核算，同比增长0.2%。其中，第一产业增加值4.3451亿元，同比负增长2.8%；第二产业增加值51.3305亿元，同比负增长4.0%；第三产业增加值28.0475亿元，同比增长9.1%。第一、二、三产业增加值占地区生产总值（GDP）的比重分别为5.2%、61.3%、33.5%，较上年三次产业结构4.1%、73.7%、22.2%有明显改观，第三产业占比大幅提升，二产占比明显下降，呈现稳中向好态势。</w:t>
      </w:r>
    </w:p>
    <w:p>
      <w:pPr>
        <w:spacing w:line="360" w:lineRule="auto"/>
        <w:ind w:firstLine="480"/>
        <w:rPr>
          <w:rFonts w:cs="Times New Roman"/>
        </w:rPr>
      </w:pPr>
      <w:r>
        <w:rPr>
          <w:rFonts w:cs="Times New Roman"/>
        </w:rPr>
        <w:t>2019年我县第一、二、三产业对地区生产总值（GDP）的贡献率分别为：-54%、-1018%、1172%，分别拉动GDP增长-0.1个、-2.0个、2.3个百分点。</w:t>
      </w:r>
    </w:p>
    <w:p>
      <w:pPr>
        <w:pStyle w:val="16"/>
        <w:ind w:firstLine="420"/>
        <w:rPr>
          <w:rFonts w:eastAsia="黑体" w:cs="Times New Roman"/>
          <w:b w:val="0"/>
          <w:bCs/>
        </w:rPr>
      </w:pPr>
      <w:r>
        <w:rPr>
          <w:rFonts w:eastAsia="黑体" w:cs="Times New Roman"/>
          <w:b w:val="0"/>
          <w:bCs/>
        </w:rPr>
        <w:t>表2-3 2019年保德县三次产业对GDP的贡献与拉动</w:t>
      </w:r>
    </w:p>
    <w:tbl>
      <w:tblPr>
        <w:tblStyle w:val="120"/>
        <w:tblW w:w="90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1701"/>
        <w:gridCol w:w="1418"/>
        <w:gridCol w:w="1276"/>
        <w:gridCol w:w="1559"/>
        <w:gridCol w:w="1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trPr>
        <w:tc>
          <w:tcPr>
            <w:tcW w:w="1129" w:type="dxa"/>
            <w:vAlign w:val="center"/>
          </w:tcPr>
          <w:p>
            <w:pPr>
              <w:snapToGrid w:val="0"/>
              <w:spacing w:line="240" w:lineRule="auto"/>
              <w:ind w:firstLine="0" w:firstLineChars="0"/>
              <w:jc w:val="center"/>
              <w:rPr>
                <w:rFonts w:cs="Times New Roman"/>
                <w:sz w:val="21"/>
                <w:szCs w:val="21"/>
              </w:rPr>
            </w:pPr>
          </w:p>
        </w:tc>
        <w:tc>
          <w:tcPr>
            <w:tcW w:w="1701" w:type="dxa"/>
            <w:vAlign w:val="center"/>
          </w:tcPr>
          <w:p>
            <w:pPr>
              <w:snapToGrid w:val="0"/>
              <w:spacing w:line="240" w:lineRule="auto"/>
              <w:ind w:firstLine="0" w:firstLineChars="0"/>
              <w:jc w:val="center"/>
              <w:rPr>
                <w:rFonts w:cs="Times New Roman"/>
                <w:sz w:val="21"/>
                <w:szCs w:val="21"/>
              </w:rPr>
            </w:pPr>
            <w:r>
              <w:rPr>
                <w:rFonts w:cs="Times New Roman"/>
                <w:sz w:val="21"/>
                <w:szCs w:val="21"/>
              </w:rPr>
              <w:t>绝对值（亿元）</w:t>
            </w:r>
          </w:p>
        </w:tc>
        <w:tc>
          <w:tcPr>
            <w:tcW w:w="1418" w:type="dxa"/>
            <w:vAlign w:val="center"/>
          </w:tcPr>
          <w:p>
            <w:pPr>
              <w:snapToGrid w:val="0"/>
              <w:spacing w:line="240" w:lineRule="auto"/>
              <w:ind w:firstLine="0" w:firstLineChars="0"/>
              <w:jc w:val="center"/>
              <w:rPr>
                <w:rFonts w:cs="Times New Roman"/>
                <w:sz w:val="21"/>
                <w:szCs w:val="21"/>
              </w:rPr>
            </w:pPr>
            <w:r>
              <w:rPr>
                <w:rFonts w:cs="Times New Roman"/>
                <w:sz w:val="21"/>
                <w:szCs w:val="21"/>
              </w:rPr>
              <w:t>增速%</w:t>
            </w:r>
          </w:p>
        </w:tc>
        <w:tc>
          <w:tcPr>
            <w:tcW w:w="1276" w:type="dxa"/>
            <w:vAlign w:val="center"/>
          </w:tcPr>
          <w:p>
            <w:pPr>
              <w:snapToGrid w:val="0"/>
              <w:spacing w:line="240" w:lineRule="auto"/>
              <w:ind w:firstLine="0" w:firstLineChars="0"/>
              <w:jc w:val="center"/>
              <w:rPr>
                <w:rFonts w:cs="Times New Roman"/>
                <w:sz w:val="21"/>
                <w:szCs w:val="21"/>
              </w:rPr>
            </w:pPr>
            <w:r>
              <w:rPr>
                <w:rFonts w:cs="Times New Roman"/>
                <w:sz w:val="21"/>
                <w:szCs w:val="21"/>
              </w:rPr>
              <w:t>占比%</w:t>
            </w:r>
          </w:p>
        </w:tc>
        <w:tc>
          <w:tcPr>
            <w:tcW w:w="1559" w:type="dxa"/>
            <w:vAlign w:val="center"/>
          </w:tcPr>
          <w:p>
            <w:pPr>
              <w:snapToGrid w:val="0"/>
              <w:spacing w:line="240" w:lineRule="auto"/>
              <w:ind w:firstLine="0" w:firstLineChars="0"/>
              <w:jc w:val="center"/>
              <w:rPr>
                <w:rFonts w:cs="Times New Roman"/>
                <w:sz w:val="21"/>
                <w:szCs w:val="21"/>
              </w:rPr>
            </w:pPr>
            <w:r>
              <w:rPr>
                <w:rFonts w:cs="Times New Roman"/>
                <w:sz w:val="21"/>
                <w:szCs w:val="21"/>
              </w:rPr>
              <w:t>贡献率%</w:t>
            </w:r>
          </w:p>
        </w:tc>
        <w:tc>
          <w:tcPr>
            <w:tcW w:w="1984" w:type="dxa"/>
            <w:vAlign w:val="center"/>
          </w:tcPr>
          <w:p>
            <w:pPr>
              <w:snapToGrid w:val="0"/>
              <w:spacing w:line="240" w:lineRule="auto"/>
              <w:ind w:firstLine="0" w:firstLineChars="0"/>
              <w:jc w:val="center"/>
              <w:rPr>
                <w:rFonts w:cs="Times New Roman"/>
                <w:sz w:val="21"/>
                <w:szCs w:val="21"/>
              </w:rPr>
            </w:pPr>
            <w:r>
              <w:rPr>
                <w:rFonts w:cs="Times New Roman"/>
                <w:sz w:val="21"/>
                <w:szCs w:val="21"/>
              </w:rPr>
              <w:t>拉动（百分点）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spacing w:line="240" w:lineRule="auto"/>
              <w:ind w:firstLine="0" w:firstLineChars="0"/>
              <w:jc w:val="center"/>
              <w:rPr>
                <w:rFonts w:cs="Times New Roman"/>
                <w:sz w:val="21"/>
                <w:szCs w:val="21"/>
              </w:rPr>
            </w:pPr>
            <w:r>
              <w:rPr>
                <w:rFonts w:cs="Times New Roman"/>
                <w:sz w:val="21"/>
                <w:szCs w:val="21"/>
              </w:rPr>
              <w:t>生产总值</w:t>
            </w:r>
          </w:p>
        </w:tc>
        <w:tc>
          <w:tcPr>
            <w:tcW w:w="1701" w:type="dxa"/>
            <w:vAlign w:val="center"/>
          </w:tcPr>
          <w:p>
            <w:pPr>
              <w:spacing w:line="240" w:lineRule="auto"/>
              <w:ind w:firstLine="0" w:firstLineChars="0"/>
              <w:jc w:val="center"/>
              <w:rPr>
                <w:rFonts w:cs="Times New Roman"/>
                <w:sz w:val="21"/>
                <w:szCs w:val="21"/>
              </w:rPr>
            </w:pPr>
            <w:r>
              <w:rPr>
                <w:rFonts w:cs="Times New Roman"/>
                <w:sz w:val="21"/>
                <w:szCs w:val="21"/>
              </w:rPr>
              <w:t>83.7231</w:t>
            </w:r>
          </w:p>
        </w:tc>
        <w:tc>
          <w:tcPr>
            <w:tcW w:w="1418" w:type="dxa"/>
            <w:vAlign w:val="center"/>
          </w:tcPr>
          <w:p>
            <w:pPr>
              <w:spacing w:line="240" w:lineRule="auto"/>
              <w:ind w:firstLine="0" w:firstLineChars="0"/>
              <w:jc w:val="center"/>
              <w:rPr>
                <w:rFonts w:cs="Times New Roman"/>
                <w:sz w:val="21"/>
                <w:szCs w:val="21"/>
              </w:rPr>
            </w:pPr>
            <w:r>
              <w:rPr>
                <w:rFonts w:cs="Times New Roman"/>
                <w:sz w:val="21"/>
                <w:szCs w:val="21"/>
              </w:rPr>
              <w:t>0.2</w:t>
            </w:r>
          </w:p>
        </w:tc>
        <w:tc>
          <w:tcPr>
            <w:tcW w:w="1276" w:type="dxa"/>
            <w:vAlign w:val="center"/>
          </w:tcPr>
          <w:p>
            <w:pPr>
              <w:spacing w:line="240" w:lineRule="auto"/>
              <w:ind w:firstLine="0" w:firstLineChars="0"/>
              <w:jc w:val="center"/>
              <w:rPr>
                <w:rFonts w:cs="Times New Roman"/>
                <w:sz w:val="21"/>
                <w:szCs w:val="21"/>
              </w:rPr>
            </w:pPr>
            <w:r>
              <w:rPr>
                <w:rFonts w:cs="Times New Roman"/>
                <w:sz w:val="21"/>
                <w:szCs w:val="21"/>
              </w:rPr>
              <w:t>100</w:t>
            </w:r>
          </w:p>
        </w:tc>
        <w:tc>
          <w:tcPr>
            <w:tcW w:w="1559" w:type="dxa"/>
            <w:vAlign w:val="center"/>
          </w:tcPr>
          <w:p>
            <w:pPr>
              <w:spacing w:line="240" w:lineRule="auto"/>
              <w:ind w:firstLine="0" w:firstLineChars="0"/>
              <w:jc w:val="center"/>
              <w:rPr>
                <w:rFonts w:cs="Times New Roman"/>
                <w:sz w:val="21"/>
                <w:szCs w:val="21"/>
              </w:rPr>
            </w:pPr>
            <w:r>
              <w:rPr>
                <w:rFonts w:cs="Times New Roman"/>
                <w:sz w:val="21"/>
                <w:szCs w:val="21"/>
              </w:rPr>
              <w:t>100</w:t>
            </w:r>
          </w:p>
        </w:tc>
        <w:tc>
          <w:tcPr>
            <w:tcW w:w="1984" w:type="dxa"/>
            <w:vAlign w:val="center"/>
          </w:tcPr>
          <w:p>
            <w:pPr>
              <w:spacing w:line="240" w:lineRule="auto"/>
              <w:ind w:firstLine="0" w:firstLineChars="0"/>
              <w:jc w:val="center"/>
              <w:rPr>
                <w:rFonts w:cs="Times New Roman"/>
                <w:sz w:val="21"/>
                <w:szCs w:val="21"/>
              </w:rPr>
            </w:pPr>
            <w:r>
              <w:rPr>
                <w:rFonts w:cs="Times New Roman"/>
                <w:sz w:val="21"/>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spacing w:line="240" w:lineRule="auto"/>
              <w:ind w:firstLine="0" w:firstLineChars="0"/>
              <w:jc w:val="center"/>
              <w:rPr>
                <w:rFonts w:cs="Times New Roman"/>
                <w:sz w:val="21"/>
                <w:szCs w:val="21"/>
              </w:rPr>
            </w:pPr>
            <w:r>
              <w:rPr>
                <w:rFonts w:cs="Times New Roman"/>
                <w:sz w:val="21"/>
                <w:szCs w:val="21"/>
              </w:rPr>
              <w:t>第一产业</w:t>
            </w:r>
          </w:p>
        </w:tc>
        <w:tc>
          <w:tcPr>
            <w:tcW w:w="1701" w:type="dxa"/>
            <w:vAlign w:val="center"/>
          </w:tcPr>
          <w:p>
            <w:pPr>
              <w:spacing w:line="240" w:lineRule="auto"/>
              <w:ind w:firstLine="0" w:firstLineChars="0"/>
              <w:jc w:val="center"/>
              <w:rPr>
                <w:rFonts w:cs="Times New Roman"/>
                <w:sz w:val="21"/>
                <w:szCs w:val="21"/>
              </w:rPr>
            </w:pPr>
            <w:r>
              <w:rPr>
                <w:rFonts w:cs="Times New Roman"/>
                <w:sz w:val="21"/>
                <w:szCs w:val="21"/>
              </w:rPr>
              <w:t>4.3451</w:t>
            </w:r>
          </w:p>
        </w:tc>
        <w:tc>
          <w:tcPr>
            <w:tcW w:w="1418" w:type="dxa"/>
            <w:vAlign w:val="center"/>
          </w:tcPr>
          <w:p>
            <w:pPr>
              <w:spacing w:line="240" w:lineRule="auto"/>
              <w:ind w:firstLine="0" w:firstLineChars="0"/>
              <w:jc w:val="center"/>
              <w:rPr>
                <w:rFonts w:cs="Times New Roman"/>
                <w:sz w:val="21"/>
                <w:szCs w:val="21"/>
              </w:rPr>
            </w:pPr>
            <w:r>
              <w:rPr>
                <w:rFonts w:cs="Times New Roman"/>
                <w:sz w:val="21"/>
                <w:szCs w:val="21"/>
              </w:rPr>
              <w:t>-2.8</w:t>
            </w:r>
          </w:p>
        </w:tc>
        <w:tc>
          <w:tcPr>
            <w:tcW w:w="1276" w:type="dxa"/>
            <w:vAlign w:val="center"/>
          </w:tcPr>
          <w:p>
            <w:pPr>
              <w:spacing w:line="240" w:lineRule="auto"/>
              <w:ind w:firstLine="0" w:firstLineChars="0"/>
              <w:jc w:val="center"/>
              <w:rPr>
                <w:rFonts w:cs="Times New Roman"/>
                <w:sz w:val="21"/>
                <w:szCs w:val="21"/>
              </w:rPr>
            </w:pPr>
            <w:r>
              <w:rPr>
                <w:rFonts w:cs="Times New Roman"/>
                <w:sz w:val="21"/>
                <w:szCs w:val="21"/>
              </w:rPr>
              <w:t>5.2</w:t>
            </w:r>
          </w:p>
        </w:tc>
        <w:tc>
          <w:tcPr>
            <w:tcW w:w="1559" w:type="dxa"/>
            <w:vAlign w:val="center"/>
          </w:tcPr>
          <w:p>
            <w:pPr>
              <w:spacing w:line="240" w:lineRule="auto"/>
              <w:ind w:firstLine="0" w:firstLineChars="0"/>
              <w:jc w:val="center"/>
              <w:rPr>
                <w:rFonts w:cs="Times New Roman"/>
                <w:sz w:val="21"/>
                <w:szCs w:val="21"/>
              </w:rPr>
            </w:pPr>
            <w:r>
              <w:rPr>
                <w:rFonts w:cs="Times New Roman"/>
                <w:sz w:val="21"/>
                <w:szCs w:val="21"/>
              </w:rPr>
              <w:t>-54</w:t>
            </w:r>
          </w:p>
        </w:tc>
        <w:tc>
          <w:tcPr>
            <w:tcW w:w="1984" w:type="dxa"/>
            <w:vAlign w:val="center"/>
          </w:tcPr>
          <w:p>
            <w:pPr>
              <w:spacing w:line="240" w:lineRule="auto"/>
              <w:ind w:firstLine="0" w:firstLineChars="0"/>
              <w:jc w:val="center"/>
              <w:rPr>
                <w:rFonts w:cs="Times New Roman"/>
                <w:sz w:val="21"/>
                <w:szCs w:val="21"/>
              </w:rPr>
            </w:pPr>
            <w:r>
              <w:rPr>
                <w:rFonts w:cs="Times New Roman"/>
                <w:sz w:val="21"/>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spacing w:line="240" w:lineRule="auto"/>
              <w:ind w:firstLine="0" w:firstLineChars="0"/>
              <w:jc w:val="center"/>
              <w:rPr>
                <w:rFonts w:cs="Times New Roman"/>
                <w:sz w:val="21"/>
                <w:szCs w:val="21"/>
              </w:rPr>
            </w:pPr>
            <w:r>
              <w:rPr>
                <w:rFonts w:cs="Times New Roman"/>
                <w:sz w:val="21"/>
                <w:szCs w:val="21"/>
              </w:rPr>
              <w:t>第二产业</w:t>
            </w:r>
          </w:p>
        </w:tc>
        <w:tc>
          <w:tcPr>
            <w:tcW w:w="1701" w:type="dxa"/>
            <w:vAlign w:val="center"/>
          </w:tcPr>
          <w:p>
            <w:pPr>
              <w:spacing w:line="240" w:lineRule="auto"/>
              <w:ind w:firstLine="0" w:firstLineChars="0"/>
              <w:jc w:val="center"/>
              <w:rPr>
                <w:rFonts w:cs="Times New Roman"/>
                <w:sz w:val="21"/>
                <w:szCs w:val="21"/>
              </w:rPr>
            </w:pPr>
            <w:r>
              <w:rPr>
                <w:rFonts w:cs="Times New Roman"/>
                <w:sz w:val="21"/>
                <w:szCs w:val="21"/>
              </w:rPr>
              <w:t>51.3305</w:t>
            </w:r>
          </w:p>
        </w:tc>
        <w:tc>
          <w:tcPr>
            <w:tcW w:w="1418" w:type="dxa"/>
            <w:vAlign w:val="center"/>
          </w:tcPr>
          <w:p>
            <w:pPr>
              <w:spacing w:line="240" w:lineRule="auto"/>
              <w:ind w:firstLine="0" w:firstLineChars="0"/>
              <w:jc w:val="center"/>
              <w:rPr>
                <w:rFonts w:cs="Times New Roman"/>
                <w:sz w:val="21"/>
                <w:szCs w:val="21"/>
              </w:rPr>
            </w:pPr>
            <w:r>
              <w:rPr>
                <w:rFonts w:cs="Times New Roman"/>
                <w:sz w:val="21"/>
                <w:szCs w:val="21"/>
              </w:rPr>
              <w:t>-4.0</w:t>
            </w:r>
          </w:p>
        </w:tc>
        <w:tc>
          <w:tcPr>
            <w:tcW w:w="1276" w:type="dxa"/>
            <w:vAlign w:val="center"/>
          </w:tcPr>
          <w:p>
            <w:pPr>
              <w:spacing w:line="240" w:lineRule="auto"/>
              <w:ind w:firstLine="0" w:firstLineChars="0"/>
              <w:jc w:val="center"/>
              <w:rPr>
                <w:rFonts w:cs="Times New Roman"/>
                <w:sz w:val="21"/>
                <w:szCs w:val="21"/>
              </w:rPr>
            </w:pPr>
            <w:r>
              <w:rPr>
                <w:rFonts w:cs="Times New Roman"/>
                <w:sz w:val="21"/>
                <w:szCs w:val="21"/>
              </w:rPr>
              <w:t>61.3</w:t>
            </w:r>
          </w:p>
        </w:tc>
        <w:tc>
          <w:tcPr>
            <w:tcW w:w="1559" w:type="dxa"/>
            <w:vAlign w:val="center"/>
          </w:tcPr>
          <w:p>
            <w:pPr>
              <w:spacing w:line="240" w:lineRule="auto"/>
              <w:ind w:firstLine="0" w:firstLineChars="0"/>
              <w:jc w:val="center"/>
              <w:rPr>
                <w:rFonts w:cs="Times New Roman"/>
                <w:sz w:val="21"/>
                <w:szCs w:val="21"/>
              </w:rPr>
            </w:pPr>
            <w:r>
              <w:rPr>
                <w:rFonts w:cs="Times New Roman"/>
                <w:sz w:val="21"/>
                <w:szCs w:val="21"/>
              </w:rPr>
              <w:t>-1018</w:t>
            </w:r>
          </w:p>
        </w:tc>
        <w:tc>
          <w:tcPr>
            <w:tcW w:w="1984" w:type="dxa"/>
            <w:vAlign w:val="center"/>
          </w:tcPr>
          <w:p>
            <w:pPr>
              <w:spacing w:line="240" w:lineRule="auto"/>
              <w:ind w:firstLine="0" w:firstLineChars="0"/>
              <w:jc w:val="center"/>
              <w:rPr>
                <w:rFonts w:cs="Times New Roman"/>
                <w:sz w:val="21"/>
                <w:szCs w:val="21"/>
              </w:rPr>
            </w:pPr>
            <w:r>
              <w:rPr>
                <w:rFonts w:cs="Times New Roman"/>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spacing w:line="240" w:lineRule="auto"/>
              <w:ind w:firstLine="0" w:firstLineChars="0"/>
              <w:jc w:val="center"/>
              <w:rPr>
                <w:rFonts w:cs="Times New Roman"/>
                <w:sz w:val="21"/>
                <w:szCs w:val="21"/>
              </w:rPr>
            </w:pPr>
            <w:r>
              <w:rPr>
                <w:rFonts w:cs="Times New Roman"/>
                <w:sz w:val="21"/>
                <w:szCs w:val="21"/>
              </w:rPr>
              <w:t>第三产业</w:t>
            </w:r>
          </w:p>
        </w:tc>
        <w:tc>
          <w:tcPr>
            <w:tcW w:w="1701" w:type="dxa"/>
            <w:vAlign w:val="center"/>
          </w:tcPr>
          <w:p>
            <w:pPr>
              <w:spacing w:line="240" w:lineRule="auto"/>
              <w:ind w:firstLine="0" w:firstLineChars="0"/>
              <w:jc w:val="center"/>
              <w:rPr>
                <w:rFonts w:cs="Times New Roman"/>
                <w:sz w:val="21"/>
                <w:szCs w:val="21"/>
              </w:rPr>
            </w:pPr>
            <w:r>
              <w:rPr>
                <w:rFonts w:cs="Times New Roman"/>
                <w:sz w:val="21"/>
                <w:szCs w:val="21"/>
              </w:rPr>
              <w:t>28.0475</w:t>
            </w:r>
          </w:p>
        </w:tc>
        <w:tc>
          <w:tcPr>
            <w:tcW w:w="1418" w:type="dxa"/>
            <w:vAlign w:val="center"/>
          </w:tcPr>
          <w:p>
            <w:pPr>
              <w:spacing w:line="240" w:lineRule="auto"/>
              <w:ind w:firstLine="0" w:firstLineChars="0"/>
              <w:jc w:val="center"/>
              <w:rPr>
                <w:rFonts w:cs="Times New Roman"/>
                <w:sz w:val="21"/>
                <w:szCs w:val="21"/>
              </w:rPr>
            </w:pPr>
            <w:r>
              <w:rPr>
                <w:rFonts w:cs="Times New Roman"/>
                <w:sz w:val="21"/>
                <w:szCs w:val="21"/>
              </w:rPr>
              <w:t>9.1</w:t>
            </w:r>
          </w:p>
        </w:tc>
        <w:tc>
          <w:tcPr>
            <w:tcW w:w="1276" w:type="dxa"/>
            <w:vAlign w:val="center"/>
          </w:tcPr>
          <w:p>
            <w:pPr>
              <w:spacing w:line="240" w:lineRule="auto"/>
              <w:ind w:firstLine="0" w:firstLineChars="0"/>
              <w:jc w:val="center"/>
              <w:rPr>
                <w:rFonts w:cs="Times New Roman"/>
                <w:sz w:val="21"/>
                <w:szCs w:val="21"/>
              </w:rPr>
            </w:pPr>
            <w:r>
              <w:rPr>
                <w:rFonts w:cs="Times New Roman"/>
                <w:sz w:val="21"/>
                <w:szCs w:val="21"/>
              </w:rPr>
              <w:t>33.5</w:t>
            </w:r>
          </w:p>
        </w:tc>
        <w:tc>
          <w:tcPr>
            <w:tcW w:w="1559" w:type="dxa"/>
            <w:vAlign w:val="center"/>
          </w:tcPr>
          <w:p>
            <w:pPr>
              <w:spacing w:line="240" w:lineRule="auto"/>
              <w:ind w:firstLine="0" w:firstLineChars="0"/>
              <w:jc w:val="center"/>
              <w:rPr>
                <w:rFonts w:cs="Times New Roman"/>
                <w:sz w:val="21"/>
                <w:szCs w:val="21"/>
              </w:rPr>
            </w:pPr>
            <w:r>
              <w:rPr>
                <w:rFonts w:cs="Times New Roman"/>
                <w:sz w:val="21"/>
                <w:szCs w:val="21"/>
              </w:rPr>
              <w:t>1172</w:t>
            </w:r>
          </w:p>
        </w:tc>
        <w:tc>
          <w:tcPr>
            <w:tcW w:w="1984" w:type="dxa"/>
            <w:vAlign w:val="center"/>
          </w:tcPr>
          <w:p>
            <w:pPr>
              <w:spacing w:line="240" w:lineRule="auto"/>
              <w:ind w:firstLine="0" w:firstLineChars="0"/>
              <w:jc w:val="center"/>
              <w:rPr>
                <w:rFonts w:cs="Times New Roman"/>
                <w:sz w:val="21"/>
                <w:szCs w:val="21"/>
              </w:rPr>
            </w:pPr>
            <w:r>
              <w:rPr>
                <w:rFonts w:cs="Times New Roman"/>
                <w:sz w:val="21"/>
                <w:szCs w:val="21"/>
              </w:rPr>
              <w:t>2.3</w:t>
            </w:r>
          </w:p>
        </w:tc>
      </w:tr>
    </w:tbl>
    <w:p>
      <w:pPr>
        <w:spacing w:before="163" w:beforeLines="50" w:line="360" w:lineRule="auto"/>
        <w:ind w:firstLine="480"/>
        <w:rPr>
          <w:rFonts w:cs="Times New Roman"/>
        </w:rPr>
      </w:pPr>
      <w:r>
        <w:rPr>
          <w:rFonts w:cs="Times New Roman"/>
        </w:rPr>
        <w:t>2019年保德县人均地区生产总值（GDP）达50470元，按国家统计局公布的2019年人民币平均汇率（1美元兑6.8985元人民币）计算为7316美元。</w:t>
      </w:r>
    </w:p>
    <w:p>
      <w:pPr>
        <w:spacing w:line="360" w:lineRule="auto"/>
        <w:ind w:firstLine="480"/>
        <w:rPr>
          <w:rFonts w:cs="Times New Roman"/>
        </w:rPr>
      </w:pPr>
      <w:r>
        <w:rPr>
          <w:rFonts w:cs="Times New Roman"/>
        </w:rPr>
        <w:t>我县近五年地区生产总值（GDP）完成情况如下图2-5所示。</w:t>
      </w:r>
    </w:p>
    <w:p>
      <w:pPr>
        <w:spacing w:line="240" w:lineRule="auto"/>
        <w:ind w:firstLine="0" w:firstLineChars="0"/>
        <w:jc w:val="center"/>
        <w:rPr>
          <w:rFonts w:cs="Times New Roman"/>
          <w:sz w:val="32"/>
          <w:szCs w:val="32"/>
        </w:rPr>
      </w:pPr>
      <w:r>
        <w:rPr>
          <w:rFonts w:cs="Times New Roman"/>
          <w:sz w:val="21"/>
          <w:szCs w:val="24"/>
          <w:bdr w:val="single" w:color="auto" w:sz="4" w:space="0"/>
        </w:rPr>
        <w:drawing>
          <wp:inline distT="0" distB="0" distL="0" distR="0">
            <wp:extent cx="5194935" cy="311467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197475" cy="3116474"/>
                    </a:xfrm>
                    <a:prstGeom prst="rect">
                      <a:avLst/>
                    </a:prstGeom>
                    <a:noFill/>
                    <a:ln>
                      <a:noFill/>
                    </a:ln>
                  </pic:spPr>
                </pic:pic>
              </a:graphicData>
            </a:graphic>
          </wp:inline>
        </w:drawing>
      </w:r>
    </w:p>
    <w:p>
      <w:pPr>
        <w:pStyle w:val="16"/>
        <w:ind w:firstLine="420"/>
        <w:rPr>
          <w:rFonts w:eastAsia="黑体" w:cs="Times New Roman"/>
          <w:b w:val="0"/>
          <w:bCs/>
        </w:rPr>
      </w:pPr>
      <w:r>
        <w:rPr>
          <w:rFonts w:eastAsia="黑体" w:cs="Times New Roman"/>
          <w:b w:val="0"/>
          <w:bCs/>
        </w:rPr>
        <w:t>图2-5 保德县近五年地区生产总值情况及增长速度</w:t>
      </w:r>
    </w:p>
    <w:p>
      <w:pPr>
        <w:spacing w:line="360" w:lineRule="auto"/>
        <w:ind w:firstLine="480"/>
        <w:rPr>
          <w:rFonts w:cs="Times New Roman"/>
        </w:rPr>
      </w:pPr>
      <w:r>
        <w:rPr>
          <w:rFonts w:cs="Times New Roman"/>
        </w:rPr>
        <w:t>2019年全县农林牧渔业总产值达7.0809亿元；实现农林牧渔业增加值4.4051亿元，可比价同比负增长1.2%。2019年，全县规模以上工业企业实现总产值77.8亿元，同比下降22.4％。规模工业完成销售产值78亿元，产销率达100%。2019年，全县规模以上工业增加值38.3亿元，较上年同期同比负增长14.9%。其中，战略性新兴产业占比0.3%。2019年保德县规模以上工业综合能源消费量30.7万吨标准煤，同比下降43%；万元规模工业增加值单位能耗为0.3946吨标准煤/万元，同比下降26.5%。2019年全县全社会固定资产投资41.8992亿元，同比增长8.9%，增幅排名居全市第11位。其中：国有经济完成投资22.4196亿元，同比负增长16.9%，民间投资19.4798亿元，同比增长69.9%。基础设施投资完成2.1087亿元，同比负增长50.2%，住宅投资0.6896亿元，同比负增长28.4%。2019年保德县社会消费品零售总额达21.9711亿元，居全市第5位，同比增长7.63%，增幅排名居全市第4位。2019年保德县财政总收入22.3657亿元，同比增长12.36%，增速排名居全市第6位。其中国税完成20.3525亿元，同比增长4.64%；财政完成2.0132亿元，同比增长341.01%。</w:t>
      </w:r>
    </w:p>
    <w:p>
      <w:pPr>
        <w:pStyle w:val="8"/>
        <w:rPr>
          <w:rFonts w:ascii="Times New Roman" w:hAnsi="Times New Roman" w:cs="Times New Roman"/>
        </w:rPr>
      </w:pPr>
      <w:r>
        <w:rPr>
          <w:rFonts w:ascii="Times New Roman" w:hAnsi="Times New Roman" w:cs="Times New Roman"/>
        </w:rPr>
        <w:t>2.2.4 交通状况</w:t>
      </w:r>
    </w:p>
    <w:p>
      <w:pPr>
        <w:spacing w:line="360" w:lineRule="auto"/>
        <w:ind w:firstLine="480"/>
        <w:rPr>
          <w:rFonts w:cs="Times New Roman"/>
        </w:rPr>
      </w:pPr>
      <w:r>
        <w:rPr>
          <w:rFonts w:cs="Times New Roman"/>
        </w:rPr>
        <w:t>保德县城向东有公路可直达五寨三岔。往西经保德黄河大桥可与陕西和内蒙古相通。乡镇之间以简易公路相连，因区域沟谷甚多，地形复杂，黄土、红土覆盖严重，乡村间主要通道仍是简易大车土路及人行小路，交通目前总体略显不便，尤其雨季交通较为困难。</w:t>
      </w:r>
    </w:p>
    <w:p>
      <w:pPr>
        <w:pStyle w:val="8"/>
        <w:rPr>
          <w:rFonts w:ascii="Times New Roman" w:hAnsi="Times New Roman" w:cs="Times New Roman"/>
        </w:rPr>
      </w:pPr>
      <w:r>
        <w:rPr>
          <w:rFonts w:ascii="Times New Roman" w:hAnsi="Times New Roman" w:cs="Times New Roman"/>
        </w:rPr>
        <w:t>2.2.5 相关规划</w:t>
      </w:r>
    </w:p>
    <w:p>
      <w:pPr>
        <w:ind w:firstLine="482"/>
        <w:rPr>
          <w:rFonts w:cs="Times New Roman"/>
          <w:b/>
        </w:rPr>
      </w:pPr>
      <w:r>
        <w:rPr>
          <w:rFonts w:cs="Times New Roman"/>
          <w:b/>
        </w:rPr>
        <w:t>（1）《保德县县城总体规划》（2000-2020）</w:t>
      </w:r>
    </w:p>
    <w:p>
      <w:pPr>
        <w:ind w:firstLine="480"/>
        <w:rPr>
          <w:rFonts w:cs="Times New Roman"/>
        </w:rPr>
      </w:pPr>
      <w:r>
        <w:rPr>
          <w:rFonts w:cs="Times New Roman"/>
        </w:rPr>
        <w:t>规划期限：</w:t>
      </w:r>
    </w:p>
    <w:p>
      <w:pPr>
        <w:ind w:firstLine="480"/>
        <w:rPr>
          <w:rFonts w:cs="Times New Roman"/>
        </w:rPr>
      </w:pPr>
      <w:r>
        <w:rPr>
          <w:rFonts w:cs="Times New Roman"/>
        </w:rPr>
        <w:t>保德县总体规划期限为（2008年</w:t>
      </w:r>
      <w:r>
        <w:rPr>
          <w:rFonts w:hint="eastAsia" w:ascii="宋体" w:hAnsi="宋体" w:cs="Times New Roman"/>
        </w:rPr>
        <w:t>～</w:t>
      </w:r>
      <w:r>
        <w:rPr>
          <w:rFonts w:cs="Times New Roman"/>
        </w:rPr>
        <w:t>2020年）</w:t>
      </w:r>
    </w:p>
    <w:p>
      <w:pPr>
        <w:ind w:firstLine="480"/>
        <w:rPr>
          <w:rFonts w:cs="Times New Roman"/>
        </w:rPr>
      </w:pPr>
      <w:r>
        <w:rPr>
          <w:rFonts w:cs="Times New Roman"/>
        </w:rPr>
        <w:t>近期2008年</w:t>
      </w:r>
      <w:r>
        <w:rPr>
          <w:rFonts w:hint="eastAsia" w:ascii="宋体" w:hAnsi="宋体" w:cs="Times New Roman"/>
        </w:rPr>
        <w:t>～</w:t>
      </w:r>
      <w:r>
        <w:rPr>
          <w:rFonts w:cs="Times New Roman"/>
        </w:rPr>
        <w:t>2010年；远期2011年</w:t>
      </w:r>
      <w:r>
        <w:rPr>
          <w:rFonts w:hint="eastAsia" w:ascii="宋体" w:hAnsi="宋体" w:cs="Times New Roman"/>
        </w:rPr>
        <w:t>～</w:t>
      </w:r>
      <w:r>
        <w:rPr>
          <w:rFonts w:cs="Times New Roman"/>
        </w:rPr>
        <w:t>2020年；远景2020年以后。</w:t>
      </w:r>
    </w:p>
    <w:p>
      <w:pPr>
        <w:ind w:firstLine="480"/>
        <w:rPr>
          <w:rFonts w:cs="Times New Roman"/>
        </w:rPr>
      </w:pPr>
      <w:r>
        <w:rPr>
          <w:rFonts w:cs="Times New Roman"/>
        </w:rPr>
        <w:t>依据资源结构、经济基础、交通联系等条件，按照地域分工理论，比较优势原则，将全县划分为三个经济区，即西部沿黄经济区、北部经济区和南部经济区。</w:t>
      </w:r>
    </w:p>
    <w:p>
      <w:pPr>
        <w:ind w:firstLine="480"/>
        <w:rPr>
          <w:rFonts w:cs="Times New Roman"/>
        </w:rPr>
      </w:pPr>
      <w:r>
        <w:rPr>
          <w:rFonts w:cs="Times New Roman"/>
        </w:rPr>
        <w:t>1、西部沿黄经济区——以县城东关镇为中心，包括杨家湾镇、韩家川乡、林遮峪乡、冯家川等五个乡镇，是县域的特色经济区。该经济区以县城为龙头，重点发展商贸、服务业等第三产业，大力扶持发展旅游业，充分发挥沿黄红枣、海红果的种植和加工优势，成为县域第三产业发达的特色经济区。</w:t>
      </w:r>
    </w:p>
    <w:p>
      <w:pPr>
        <w:ind w:firstLine="480"/>
        <w:rPr>
          <w:rFonts w:cs="Times New Roman"/>
        </w:rPr>
      </w:pPr>
      <w:r>
        <w:rPr>
          <w:rFonts w:cs="Times New Roman"/>
        </w:rPr>
        <w:t>2、北部经济区</w:t>
      </w:r>
      <w:r>
        <w:rPr>
          <w:rFonts w:hint="eastAsia" w:cs="Times New Roman"/>
        </w:rPr>
        <w:t>——</w:t>
      </w:r>
      <w:r>
        <w:rPr>
          <w:rFonts w:cs="Times New Roman"/>
        </w:rPr>
        <w:t>以义门镇、桥头镇为北部区域中心，包括腰庄、尧圪台和窑洼等5个乡镇，是县域工业企业重点发展的区域，依托丰富的矿产资源优势及义门、桥头两个中心城镇，重点发展煤炭开采及精加工、电力、铝、化建等工业，组建工业集中区，使该区成为保德县域最主要的工业发展区域。同时，加大尧圪台和窑洼的林果种植和畜牧业发展，并利用交通优势，发展物流、集市贸易等第三产业。</w:t>
      </w:r>
    </w:p>
    <w:p>
      <w:pPr>
        <w:ind w:firstLine="480"/>
        <w:rPr>
          <w:rFonts w:cs="Times New Roman"/>
        </w:rPr>
      </w:pPr>
      <w:r>
        <w:rPr>
          <w:rFonts w:cs="Times New Roman"/>
        </w:rPr>
        <w:t>3、南部经济区——以南河沟乡为南部区域中心，包括孙家沟和土崖塔三个乡。该经济区是以农林种植业、畜牧业和农副产品加工为主的经济区，适度发展煤炭开采、铝工业等三类工业。</w:t>
      </w:r>
    </w:p>
    <w:p>
      <w:pPr>
        <w:spacing w:line="240" w:lineRule="auto"/>
        <w:ind w:right="482" w:firstLine="198" w:firstLineChars="0"/>
        <w:jc w:val="center"/>
        <w:rPr>
          <w:rFonts w:eastAsia="黑体" w:cs="Times New Roman"/>
          <w:sz w:val="21"/>
          <w:szCs w:val="21"/>
        </w:rPr>
      </w:pPr>
      <w:r>
        <w:rPr>
          <w:rFonts w:eastAsia="黑体" w:cs="Times New Roman"/>
          <w:sz w:val="21"/>
          <w:szCs w:val="21"/>
        </w:rPr>
        <w:t>表2-4 保德县城镇职能结构规划</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7"/>
        <w:gridCol w:w="1216"/>
        <w:gridCol w:w="1573"/>
        <w:gridCol w:w="49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716"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职能等级</w:t>
            </w:r>
          </w:p>
        </w:tc>
        <w:tc>
          <w:tcPr>
            <w:tcW w:w="671"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职能类型</w:t>
            </w:r>
          </w:p>
        </w:tc>
        <w:tc>
          <w:tcPr>
            <w:tcW w:w="868"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城镇名称</w:t>
            </w:r>
          </w:p>
        </w:tc>
        <w:tc>
          <w:tcPr>
            <w:tcW w:w="2745" w:type="pct"/>
            <w:vAlign w:val="center"/>
          </w:tcPr>
          <w:p>
            <w:pPr>
              <w:adjustRightInd w:val="0"/>
              <w:snapToGrid w:val="0"/>
              <w:spacing w:line="240" w:lineRule="auto"/>
              <w:ind w:firstLineChars="0"/>
              <w:jc w:val="center"/>
              <w:rPr>
                <w:rFonts w:cs="Times New Roman"/>
                <w:sz w:val="21"/>
                <w:szCs w:val="21"/>
              </w:rPr>
            </w:pPr>
            <w:r>
              <w:rPr>
                <w:rFonts w:cs="Times New Roman"/>
                <w:sz w:val="21"/>
                <w:szCs w:val="21"/>
              </w:rPr>
              <w:t>主要职能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716"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县域中心</w:t>
            </w:r>
          </w:p>
        </w:tc>
        <w:tc>
          <w:tcPr>
            <w:tcW w:w="671"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综合型</w:t>
            </w:r>
          </w:p>
        </w:tc>
        <w:tc>
          <w:tcPr>
            <w:tcW w:w="868"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县城</w:t>
            </w:r>
          </w:p>
          <w:p>
            <w:pPr>
              <w:adjustRightInd w:val="0"/>
              <w:snapToGrid w:val="0"/>
              <w:spacing w:line="240" w:lineRule="auto"/>
              <w:ind w:firstLine="0" w:firstLineChars="0"/>
              <w:jc w:val="center"/>
              <w:rPr>
                <w:rFonts w:cs="Times New Roman"/>
                <w:sz w:val="21"/>
                <w:szCs w:val="21"/>
              </w:rPr>
            </w:pPr>
            <w:r>
              <w:rPr>
                <w:rFonts w:cs="Times New Roman"/>
                <w:sz w:val="21"/>
                <w:szCs w:val="21"/>
              </w:rPr>
              <w:t>(东关镇)</w:t>
            </w:r>
          </w:p>
        </w:tc>
        <w:tc>
          <w:tcPr>
            <w:tcW w:w="2745" w:type="pct"/>
            <w:vAlign w:val="center"/>
          </w:tcPr>
          <w:p>
            <w:pPr>
              <w:adjustRightInd w:val="0"/>
              <w:snapToGrid w:val="0"/>
              <w:spacing w:line="240" w:lineRule="auto"/>
              <w:ind w:firstLine="0" w:firstLineChars="0"/>
              <w:rPr>
                <w:rFonts w:cs="Times New Roman"/>
                <w:sz w:val="21"/>
                <w:szCs w:val="21"/>
              </w:rPr>
            </w:pPr>
            <w:r>
              <w:rPr>
                <w:rFonts w:cs="Times New Roman"/>
                <w:sz w:val="21"/>
                <w:szCs w:val="21"/>
              </w:rPr>
              <w:t>县域政治、经济、文化中心。以商贸、服务业、轻工业等综合服务业为主的园林小城市。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716" w:type="pct"/>
            <w:vMerge w:val="restart"/>
            <w:vAlign w:val="center"/>
          </w:tcPr>
          <w:p>
            <w:pPr>
              <w:adjustRightInd w:val="0"/>
              <w:snapToGrid w:val="0"/>
              <w:spacing w:line="240" w:lineRule="auto"/>
              <w:ind w:firstLine="105" w:firstLineChars="50"/>
              <w:jc w:val="center"/>
              <w:rPr>
                <w:rFonts w:cs="Times New Roman"/>
                <w:sz w:val="21"/>
                <w:szCs w:val="21"/>
              </w:rPr>
            </w:pPr>
            <w:r>
              <w:rPr>
                <w:rFonts w:cs="Times New Roman"/>
                <w:sz w:val="21"/>
                <w:szCs w:val="21"/>
              </w:rPr>
              <w:t>地域性</w:t>
            </w:r>
          </w:p>
          <w:p>
            <w:pPr>
              <w:adjustRightInd w:val="0"/>
              <w:snapToGrid w:val="0"/>
              <w:spacing w:line="240" w:lineRule="auto"/>
              <w:ind w:firstLine="0" w:firstLineChars="0"/>
              <w:jc w:val="center"/>
              <w:rPr>
                <w:rFonts w:cs="Times New Roman"/>
                <w:sz w:val="21"/>
                <w:szCs w:val="21"/>
              </w:rPr>
            </w:pPr>
            <w:r>
              <w:rPr>
                <w:rFonts w:cs="Times New Roman"/>
                <w:sz w:val="21"/>
                <w:szCs w:val="21"/>
              </w:rPr>
              <w:t>中心城镇</w:t>
            </w:r>
          </w:p>
        </w:tc>
        <w:tc>
          <w:tcPr>
            <w:tcW w:w="671" w:type="pct"/>
            <w:vMerge w:val="restar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工贸型</w:t>
            </w:r>
          </w:p>
        </w:tc>
        <w:tc>
          <w:tcPr>
            <w:tcW w:w="868"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桥头镇</w:t>
            </w:r>
          </w:p>
        </w:tc>
        <w:tc>
          <w:tcPr>
            <w:tcW w:w="2745" w:type="pct"/>
            <w:vAlign w:val="center"/>
          </w:tcPr>
          <w:p>
            <w:pPr>
              <w:adjustRightInd w:val="0"/>
              <w:snapToGrid w:val="0"/>
              <w:spacing w:line="240" w:lineRule="auto"/>
              <w:ind w:firstLine="0" w:firstLineChars="0"/>
              <w:rPr>
                <w:rFonts w:cs="Times New Roman"/>
                <w:sz w:val="21"/>
                <w:szCs w:val="21"/>
              </w:rPr>
            </w:pPr>
            <w:r>
              <w:rPr>
                <w:rFonts w:cs="Times New Roman"/>
                <w:sz w:val="21"/>
                <w:szCs w:val="21"/>
              </w:rPr>
              <w:t>以煤炭开采、煤炭精加工、电力、商贸服务为主的综合性城镇，是保德县域中部的中心城镇。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72" w:hRule="atLeast"/>
          <w:jc w:val="center"/>
        </w:trPr>
        <w:tc>
          <w:tcPr>
            <w:tcW w:w="716" w:type="pct"/>
            <w:vMerge w:val="continue"/>
            <w:vAlign w:val="center"/>
          </w:tcPr>
          <w:p>
            <w:pPr>
              <w:adjustRightInd w:val="0"/>
              <w:snapToGrid w:val="0"/>
              <w:spacing w:line="240" w:lineRule="auto"/>
              <w:ind w:firstLineChars="0"/>
              <w:jc w:val="center"/>
              <w:rPr>
                <w:rFonts w:cs="Times New Roman"/>
                <w:sz w:val="21"/>
                <w:szCs w:val="21"/>
              </w:rPr>
            </w:pPr>
          </w:p>
        </w:tc>
        <w:tc>
          <w:tcPr>
            <w:tcW w:w="671" w:type="pct"/>
            <w:vMerge w:val="continue"/>
            <w:vAlign w:val="center"/>
          </w:tcPr>
          <w:p>
            <w:pPr>
              <w:adjustRightInd w:val="0"/>
              <w:snapToGrid w:val="0"/>
              <w:spacing w:line="240" w:lineRule="auto"/>
              <w:ind w:firstLineChars="0"/>
              <w:jc w:val="center"/>
              <w:rPr>
                <w:rFonts w:cs="Times New Roman"/>
                <w:sz w:val="21"/>
                <w:szCs w:val="21"/>
              </w:rPr>
            </w:pPr>
          </w:p>
        </w:tc>
        <w:tc>
          <w:tcPr>
            <w:tcW w:w="868" w:type="pct"/>
            <w:tcBorders>
              <w:bottom w:val="single" w:color="auto" w:sz="4" w:space="0"/>
            </w:tcBorders>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义门镇</w:t>
            </w:r>
          </w:p>
        </w:tc>
        <w:tc>
          <w:tcPr>
            <w:tcW w:w="2745" w:type="pct"/>
            <w:tcBorders>
              <w:bottom w:val="single" w:color="auto" w:sz="4" w:space="0"/>
            </w:tcBorders>
            <w:vAlign w:val="center"/>
          </w:tcPr>
          <w:p>
            <w:pPr>
              <w:adjustRightInd w:val="0"/>
              <w:snapToGrid w:val="0"/>
              <w:spacing w:line="240" w:lineRule="auto"/>
              <w:ind w:firstLine="0" w:firstLineChars="0"/>
              <w:rPr>
                <w:rFonts w:cs="Times New Roman"/>
                <w:sz w:val="21"/>
                <w:szCs w:val="21"/>
              </w:rPr>
            </w:pPr>
            <w:r>
              <w:rPr>
                <w:rFonts w:cs="Times New Roman"/>
                <w:sz w:val="21"/>
                <w:szCs w:val="21"/>
              </w:rPr>
              <w:t>以煤炭、电力、铝工业及化工业为主的工业型城镇，是保德县域北部的中心城镇。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716" w:type="pct"/>
            <w:vMerge w:val="continue"/>
            <w:tcBorders>
              <w:bottom w:val="single" w:color="auto" w:sz="4" w:space="0"/>
            </w:tcBorders>
            <w:vAlign w:val="center"/>
          </w:tcPr>
          <w:p>
            <w:pPr>
              <w:adjustRightInd w:val="0"/>
              <w:snapToGrid w:val="0"/>
              <w:spacing w:line="240" w:lineRule="auto"/>
              <w:ind w:firstLineChars="0"/>
              <w:jc w:val="center"/>
              <w:rPr>
                <w:rFonts w:cs="Times New Roman"/>
                <w:sz w:val="21"/>
                <w:szCs w:val="21"/>
              </w:rPr>
            </w:pPr>
          </w:p>
        </w:tc>
        <w:tc>
          <w:tcPr>
            <w:tcW w:w="671" w:type="pct"/>
            <w:tcBorders>
              <w:bottom w:val="single" w:color="auto" w:sz="4" w:space="0"/>
            </w:tcBorders>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综合型</w:t>
            </w:r>
          </w:p>
        </w:tc>
        <w:tc>
          <w:tcPr>
            <w:tcW w:w="868" w:type="pct"/>
            <w:tcBorders>
              <w:bottom w:val="single" w:color="auto" w:sz="4" w:space="0"/>
            </w:tcBorders>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南河沟镇</w:t>
            </w:r>
          </w:p>
        </w:tc>
        <w:tc>
          <w:tcPr>
            <w:tcW w:w="2745" w:type="pct"/>
            <w:tcBorders>
              <w:bottom w:val="single" w:color="auto" w:sz="4" w:space="0"/>
            </w:tcBorders>
            <w:vAlign w:val="center"/>
          </w:tcPr>
          <w:p>
            <w:pPr>
              <w:adjustRightInd w:val="0"/>
              <w:snapToGrid w:val="0"/>
              <w:spacing w:line="240" w:lineRule="auto"/>
              <w:ind w:firstLine="0" w:firstLineChars="0"/>
              <w:rPr>
                <w:rFonts w:cs="Times New Roman"/>
                <w:sz w:val="21"/>
                <w:szCs w:val="21"/>
              </w:rPr>
            </w:pPr>
            <w:r>
              <w:rPr>
                <w:rFonts w:cs="Times New Roman"/>
                <w:sz w:val="21"/>
                <w:szCs w:val="21"/>
              </w:rPr>
              <w:t>以农副产品加工、集市贸易、煤炭开采为主的县域南部中心城镇。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716" w:type="pct"/>
            <w:vMerge w:val="restar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一般城镇</w:t>
            </w:r>
          </w:p>
        </w:tc>
        <w:tc>
          <w:tcPr>
            <w:tcW w:w="671" w:type="pct"/>
            <w:vMerge w:val="restart"/>
            <w:shd w:val="clear" w:color="auto" w:fill="auto"/>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综合型</w:t>
            </w:r>
          </w:p>
        </w:tc>
        <w:tc>
          <w:tcPr>
            <w:tcW w:w="868"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杨家湾镇</w:t>
            </w:r>
          </w:p>
        </w:tc>
        <w:tc>
          <w:tcPr>
            <w:tcW w:w="2745" w:type="pct"/>
            <w:vAlign w:val="center"/>
          </w:tcPr>
          <w:p>
            <w:pPr>
              <w:adjustRightInd w:val="0"/>
              <w:snapToGrid w:val="0"/>
              <w:spacing w:line="240" w:lineRule="auto"/>
              <w:ind w:firstLine="0" w:firstLineChars="0"/>
              <w:rPr>
                <w:rFonts w:cs="Times New Roman"/>
                <w:sz w:val="21"/>
                <w:szCs w:val="21"/>
              </w:rPr>
            </w:pPr>
            <w:r>
              <w:rPr>
                <w:rFonts w:cs="Times New Roman"/>
                <w:sz w:val="21"/>
                <w:szCs w:val="21"/>
              </w:rPr>
              <w:t>以旅游服务、商贸物流、铝工业和农副产品种植、加工业为主的集镇。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4" w:hRule="atLeast"/>
          <w:jc w:val="center"/>
        </w:trPr>
        <w:tc>
          <w:tcPr>
            <w:tcW w:w="716" w:type="pct"/>
            <w:vMerge w:val="continue"/>
            <w:vAlign w:val="center"/>
          </w:tcPr>
          <w:p>
            <w:pPr>
              <w:adjustRightInd w:val="0"/>
              <w:snapToGrid w:val="0"/>
              <w:spacing w:line="240" w:lineRule="auto"/>
              <w:ind w:firstLineChars="0"/>
              <w:jc w:val="center"/>
              <w:rPr>
                <w:rFonts w:cs="Times New Roman"/>
                <w:sz w:val="21"/>
                <w:szCs w:val="21"/>
              </w:rPr>
            </w:pPr>
          </w:p>
        </w:tc>
        <w:tc>
          <w:tcPr>
            <w:tcW w:w="671" w:type="pct"/>
            <w:vMerge w:val="continue"/>
            <w:shd w:val="clear" w:color="auto" w:fill="auto"/>
            <w:vAlign w:val="center"/>
          </w:tcPr>
          <w:p>
            <w:pPr>
              <w:adjustRightInd w:val="0"/>
              <w:snapToGrid w:val="0"/>
              <w:spacing w:line="240" w:lineRule="auto"/>
              <w:ind w:firstLine="0" w:firstLineChars="0"/>
              <w:jc w:val="center"/>
              <w:rPr>
                <w:rFonts w:cs="Times New Roman"/>
                <w:sz w:val="21"/>
                <w:szCs w:val="21"/>
              </w:rPr>
            </w:pPr>
          </w:p>
        </w:tc>
        <w:tc>
          <w:tcPr>
            <w:tcW w:w="868"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腰庄乡</w:t>
            </w:r>
          </w:p>
        </w:tc>
        <w:tc>
          <w:tcPr>
            <w:tcW w:w="2745" w:type="pct"/>
            <w:vAlign w:val="center"/>
          </w:tcPr>
          <w:p>
            <w:pPr>
              <w:adjustRightInd w:val="0"/>
              <w:snapToGrid w:val="0"/>
              <w:spacing w:line="240" w:lineRule="auto"/>
              <w:ind w:firstLine="0" w:firstLineChars="0"/>
              <w:rPr>
                <w:rFonts w:cs="Times New Roman"/>
                <w:sz w:val="21"/>
                <w:szCs w:val="21"/>
              </w:rPr>
            </w:pPr>
            <w:r>
              <w:rPr>
                <w:rFonts w:cs="Times New Roman"/>
                <w:sz w:val="21"/>
                <w:szCs w:val="21"/>
              </w:rPr>
              <w:t>以煤炭开采业和特色农业种植、农副产品加工工业为主的集镇。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6" w:type="pct"/>
            <w:vMerge w:val="continue"/>
            <w:vAlign w:val="center"/>
          </w:tcPr>
          <w:p>
            <w:pPr>
              <w:adjustRightInd w:val="0"/>
              <w:snapToGrid w:val="0"/>
              <w:spacing w:line="240" w:lineRule="auto"/>
              <w:ind w:firstLineChars="0"/>
              <w:jc w:val="center"/>
              <w:rPr>
                <w:rFonts w:cs="Times New Roman"/>
                <w:sz w:val="21"/>
                <w:szCs w:val="21"/>
              </w:rPr>
            </w:pPr>
          </w:p>
        </w:tc>
        <w:tc>
          <w:tcPr>
            <w:tcW w:w="671" w:type="pct"/>
            <w:vMerge w:val="restart"/>
            <w:shd w:val="clear" w:color="auto" w:fill="auto"/>
            <w:vAlign w:val="center"/>
          </w:tcPr>
          <w:p>
            <w:pPr>
              <w:adjustRightInd w:val="0"/>
              <w:snapToGrid w:val="0"/>
              <w:spacing w:line="240" w:lineRule="auto"/>
              <w:ind w:firstLineChars="0"/>
              <w:rPr>
                <w:rFonts w:cs="Times New Roman"/>
                <w:sz w:val="21"/>
                <w:szCs w:val="21"/>
              </w:rPr>
            </w:pPr>
            <w:r>
              <w:rPr>
                <w:rFonts w:cs="Times New Roman"/>
                <w:sz w:val="21"/>
                <w:szCs w:val="21"/>
              </w:rPr>
              <w:t>集贸型</w:t>
            </w:r>
          </w:p>
        </w:tc>
        <w:tc>
          <w:tcPr>
            <w:tcW w:w="868"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韩家川乡</w:t>
            </w:r>
          </w:p>
        </w:tc>
        <w:tc>
          <w:tcPr>
            <w:tcW w:w="2745" w:type="pct"/>
            <w:vMerge w:val="restart"/>
            <w:vAlign w:val="center"/>
          </w:tcPr>
          <w:p>
            <w:pPr>
              <w:adjustRightInd w:val="0"/>
              <w:snapToGrid w:val="0"/>
              <w:spacing w:line="240" w:lineRule="auto"/>
              <w:ind w:firstLine="0" w:firstLineChars="0"/>
              <w:rPr>
                <w:rFonts w:cs="Times New Roman"/>
                <w:sz w:val="21"/>
                <w:szCs w:val="21"/>
              </w:rPr>
            </w:pPr>
            <w:r>
              <w:rPr>
                <w:rFonts w:cs="Times New Roman"/>
                <w:sz w:val="21"/>
                <w:szCs w:val="21"/>
              </w:rPr>
              <w:t>一般集贸型城镇，加强为农业发展服务职能的建设。重点发展小杂粮、红枣种植、养殖业和农产品加工工业。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6" w:type="pct"/>
            <w:vMerge w:val="continue"/>
            <w:vAlign w:val="center"/>
          </w:tcPr>
          <w:p>
            <w:pPr>
              <w:adjustRightInd w:val="0"/>
              <w:snapToGrid w:val="0"/>
              <w:spacing w:line="240" w:lineRule="auto"/>
              <w:ind w:firstLineChars="0"/>
              <w:jc w:val="center"/>
              <w:rPr>
                <w:rFonts w:cs="Times New Roman"/>
                <w:sz w:val="21"/>
                <w:szCs w:val="21"/>
              </w:rPr>
            </w:pPr>
          </w:p>
        </w:tc>
        <w:tc>
          <w:tcPr>
            <w:tcW w:w="671" w:type="pct"/>
            <w:vMerge w:val="continue"/>
            <w:shd w:val="clear" w:color="auto" w:fill="auto"/>
            <w:vAlign w:val="center"/>
          </w:tcPr>
          <w:p>
            <w:pPr>
              <w:adjustRightInd w:val="0"/>
              <w:snapToGrid w:val="0"/>
              <w:spacing w:line="240" w:lineRule="auto"/>
              <w:ind w:firstLineChars="0"/>
              <w:jc w:val="center"/>
              <w:rPr>
                <w:rFonts w:cs="Times New Roman"/>
                <w:sz w:val="21"/>
                <w:szCs w:val="21"/>
              </w:rPr>
            </w:pPr>
          </w:p>
        </w:tc>
        <w:tc>
          <w:tcPr>
            <w:tcW w:w="868"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林遮峪乡</w:t>
            </w:r>
          </w:p>
        </w:tc>
        <w:tc>
          <w:tcPr>
            <w:tcW w:w="2745" w:type="pct"/>
            <w:vMerge w:val="continue"/>
            <w:vAlign w:val="center"/>
          </w:tcPr>
          <w:p>
            <w:pPr>
              <w:adjustRightInd w:val="0"/>
              <w:snapToGrid w:val="0"/>
              <w:spacing w:line="240" w:lineRule="auto"/>
              <w:ind w:firstLine="0" w:firstLineChars="0"/>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6" w:type="pct"/>
            <w:vMerge w:val="continue"/>
            <w:vAlign w:val="center"/>
          </w:tcPr>
          <w:p>
            <w:pPr>
              <w:adjustRightInd w:val="0"/>
              <w:snapToGrid w:val="0"/>
              <w:spacing w:line="240" w:lineRule="auto"/>
              <w:ind w:firstLineChars="0"/>
              <w:jc w:val="center"/>
              <w:rPr>
                <w:rFonts w:cs="Times New Roman"/>
                <w:sz w:val="21"/>
                <w:szCs w:val="21"/>
              </w:rPr>
            </w:pPr>
          </w:p>
        </w:tc>
        <w:tc>
          <w:tcPr>
            <w:tcW w:w="671" w:type="pct"/>
            <w:vMerge w:val="continue"/>
            <w:vAlign w:val="center"/>
          </w:tcPr>
          <w:p>
            <w:pPr>
              <w:adjustRightInd w:val="0"/>
              <w:snapToGrid w:val="0"/>
              <w:spacing w:line="240" w:lineRule="auto"/>
              <w:ind w:firstLine="0" w:firstLineChars="0"/>
              <w:jc w:val="center"/>
              <w:rPr>
                <w:rFonts w:cs="Times New Roman"/>
                <w:sz w:val="21"/>
                <w:szCs w:val="21"/>
              </w:rPr>
            </w:pPr>
          </w:p>
        </w:tc>
        <w:tc>
          <w:tcPr>
            <w:tcW w:w="868"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冯家川乡</w:t>
            </w:r>
          </w:p>
        </w:tc>
        <w:tc>
          <w:tcPr>
            <w:tcW w:w="2745" w:type="pct"/>
            <w:vMerge w:val="continue"/>
            <w:vAlign w:val="center"/>
          </w:tcPr>
          <w:p>
            <w:pPr>
              <w:adjustRightInd w:val="0"/>
              <w:snapToGrid w:val="0"/>
              <w:spacing w:line="240" w:lineRule="auto"/>
              <w:ind w:firstLine="0" w:firstLineChars="0"/>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6" w:type="pct"/>
            <w:vMerge w:val="continue"/>
            <w:vAlign w:val="center"/>
          </w:tcPr>
          <w:p>
            <w:pPr>
              <w:adjustRightInd w:val="0"/>
              <w:snapToGrid w:val="0"/>
              <w:spacing w:line="240" w:lineRule="auto"/>
              <w:ind w:firstLineChars="0"/>
              <w:jc w:val="center"/>
              <w:rPr>
                <w:rFonts w:cs="Times New Roman"/>
                <w:sz w:val="21"/>
                <w:szCs w:val="21"/>
              </w:rPr>
            </w:pPr>
          </w:p>
        </w:tc>
        <w:tc>
          <w:tcPr>
            <w:tcW w:w="671" w:type="pct"/>
            <w:vMerge w:val="continue"/>
            <w:vAlign w:val="center"/>
          </w:tcPr>
          <w:p>
            <w:pPr>
              <w:adjustRightInd w:val="0"/>
              <w:snapToGrid w:val="0"/>
              <w:spacing w:line="240" w:lineRule="auto"/>
              <w:ind w:firstLine="0" w:firstLineChars="0"/>
              <w:jc w:val="center"/>
              <w:rPr>
                <w:rFonts w:cs="Times New Roman"/>
                <w:sz w:val="21"/>
                <w:szCs w:val="21"/>
              </w:rPr>
            </w:pPr>
          </w:p>
        </w:tc>
        <w:tc>
          <w:tcPr>
            <w:tcW w:w="868"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土崖塔乡</w:t>
            </w:r>
          </w:p>
        </w:tc>
        <w:tc>
          <w:tcPr>
            <w:tcW w:w="2745" w:type="pct"/>
            <w:vMerge w:val="continue"/>
            <w:vAlign w:val="center"/>
          </w:tcPr>
          <w:p>
            <w:pPr>
              <w:adjustRightInd w:val="0"/>
              <w:snapToGrid w:val="0"/>
              <w:spacing w:line="240" w:lineRule="auto"/>
              <w:ind w:firstLine="0" w:firstLineChars="0"/>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716" w:type="pct"/>
            <w:vMerge w:val="continue"/>
            <w:vAlign w:val="center"/>
          </w:tcPr>
          <w:p>
            <w:pPr>
              <w:adjustRightInd w:val="0"/>
              <w:snapToGrid w:val="0"/>
              <w:spacing w:line="240" w:lineRule="auto"/>
              <w:ind w:firstLineChars="0"/>
              <w:jc w:val="center"/>
              <w:rPr>
                <w:rFonts w:cs="Times New Roman"/>
                <w:sz w:val="21"/>
                <w:szCs w:val="21"/>
              </w:rPr>
            </w:pPr>
          </w:p>
        </w:tc>
        <w:tc>
          <w:tcPr>
            <w:tcW w:w="671"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工贸型</w:t>
            </w:r>
          </w:p>
        </w:tc>
        <w:tc>
          <w:tcPr>
            <w:tcW w:w="868"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孙家沟乡</w:t>
            </w:r>
          </w:p>
        </w:tc>
        <w:tc>
          <w:tcPr>
            <w:tcW w:w="2745" w:type="pct"/>
            <w:vAlign w:val="center"/>
          </w:tcPr>
          <w:p>
            <w:pPr>
              <w:adjustRightInd w:val="0"/>
              <w:snapToGrid w:val="0"/>
              <w:spacing w:line="240" w:lineRule="auto"/>
              <w:ind w:firstLine="0" w:firstLineChars="0"/>
              <w:rPr>
                <w:rFonts w:cs="Times New Roman"/>
                <w:sz w:val="21"/>
                <w:szCs w:val="21"/>
              </w:rPr>
            </w:pPr>
            <w:r>
              <w:rPr>
                <w:rFonts w:cs="Times New Roman"/>
                <w:sz w:val="21"/>
                <w:szCs w:val="21"/>
              </w:rPr>
              <w:t>以煤炭、铝工业、养殖业为主的集镇。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6" w:type="pct"/>
            <w:vMerge w:val="continue"/>
            <w:vAlign w:val="center"/>
          </w:tcPr>
          <w:p>
            <w:pPr>
              <w:adjustRightInd w:val="0"/>
              <w:snapToGrid w:val="0"/>
              <w:spacing w:line="240" w:lineRule="auto"/>
              <w:ind w:firstLineChars="0"/>
              <w:rPr>
                <w:rFonts w:cs="Times New Roman"/>
                <w:sz w:val="21"/>
                <w:szCs w:val="21"/>
              </w:rPr>
            </w:pPr>
          </w:p>
        </w:tc>
        <w:tc>
          <w:tcPr>
            <w:tcW w:w="671" w:type="pct"/>
            <w:vMerge w:val="restar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集贸型</w:t>
            </w:r>
          </w:p>
        </w:tc>
        <w:tc>
          <w:tcPr>
            <w:tcW w:w="868"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尧圪台乡</w:t>
            </w:r>
          </w:p>
        </w:tc>
        <w:tc>
          <w:tcPr>
            <w:tcW w:w="2745" w:type="pct"/>
            <w:vMerge w:val="restart"/>
            <w:vAlign w:val="center"/>
          </w:tcPr>
          <w:p>
            <w:pPr>
              <w:adjustRightInd w:val="0"/>
              <w:snapToGrid w:val="0"/>
              <w:spacing w:line="240" w:lineRule="auto"/>
              <w:ind w:firstLine="0" w:firstLineChars="0"/>
              <w:rPr>
                <w:rFonts w:cs="Times New Roman"/>
                <w:sz w:val="21"/>
                <w:szCs w:val="21"/>
              </w:rPr>
            </w:pPr>
            <w:r>
              <w:rPr>
                <w:rFonts w:cs="Times New Roman"/>
                <w:sz w:val="21"/>
                <w:szCs w:val="21"/>
              </w:rPr>
              <w:t>以建材、林牧种植业、养殖业和集市贸易为主的集镇。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6" w:type="pct"/>
            <w:vMerge w:val="continue"/>
            <w:vAlign w:val="center"/>
          </w:tcPr>
          <w:p>
            <w:pPr>
              <w:adjustRightInd w:val="0"/>
              <w:snapToGrid w:val="0"/>
              <w:spacing w:line="240" w:lineRule="auto"/>
              <w:ind w:firstLineChars="0"/>
              <w:rPr>
                <w:rFonts w:cs="Times New Roman"/>
                <w:sz w:val="21"/>
                <w:szCs w:val="21"/>
              </w:rPr>
            </w:pPr>
          </w:p>
        </w:tc>
        <w:tc>
          <w:tcPr>
            <w:tcW w:w="671" w:type="pct"/>
            <w:vMerge w:val="continue"/>
            <w:vAlign w:val="center"/>
          </w:tcPr>
          <w:p>
            <w:pPr>
              <w:adjustRightInd w:val="0"/>
              <w:snapToGrid w:val="0"/>
              <w:spacing w:line="240" w:lineRule="auto"/>
              <w:ind w:firstLine="0" w:firstLineChars="0"/>
              <w:rPr>
                <w:rFonts w:cs="Times New Roman"/>
                <w:sz w:val="21"/>
                <w:szCs w:val="21"/>
              </w:rPr>
            </w:pPr>
          </w:p>
        </w:tc>
        <w:tc>
          <w:tcPr>
            <w:tcW w:w="868"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窑洼乡</w:t>
            </w:r>
          </w:p>
        </w:tc>
        <w:tc>
          <w:tcPr>
            <w:tcW w:w="2745" w:type="pct"/>
            <w:vMerge w:val="continue"/>
            <w:vAlign w:val="center"/>
          </w:tcPr>
          <w:p>
            <w:pPr>
              <w:adjustRightInd w:val="0"/>
              <w:snapToGrid w:val="0"/>
              <w:spacing w:line="240" w:lineRule="auto"/>
              <w:ind w:firstLine="0" w:firstLineChars="0"/>
              <w:rPr>
                <w:rFonts w:cs="Times New Roman"/>
                <w:sz w:val="21"/>
                <w:szCs w:val="21"/>
              </w:rPr>
            </w:pPr>
          </w:p>
        </w:tc>
      </w:tr>
    </w:tbl>
    <w:p>
      <w:pPr>
        <w:pStyle w:val="7"/>
        <w:rPr>
          <w:rFonts w:ascii="Times New Roman" w:hAnsi="Times New Roman" w:cs="Times New Roman"/>
        </w:rPr>
      </w:pPr>
      <w:bookmarkStart w:id="28" w:name="_Toc43848807"/>
      <w:r>
        <w:rPr>
          <w:rFonts w:ascii="Times New Roman" w:hAnsi="Times New Roman" w:cs="Times New Roman"/>
        </w:rPr>
        <w:t>2.3 生态环境治理状况</w:t>
      </w:r>
      <w:bookmarkEnd w:id="28"/>
    </w:p>
    <w:p>
      <w:pPr>
        <w:pStyle w:val="8"/>
        <w:rPr>
          <w:rFonts w:ascii="Times New Roman" w:hAnsi="Times New Roman" w:cs="Times New Roman"/>
        </w:rPr>
      </w:pPr>
      <w:r>
        <w:rPr>
          <w:rFonts w:ascii="Times New Roman" w:hAnsi="Times New Roman" w:cs="Times New Roman"/>
        </w:rPr>
        <w:t>2.3.1 饮用水水源地</w:t>
      </w:r>
    </w:p>
    <w:p>
      <w:pPr>
        <w:pStyle w:val="9"/>
      </w:pPr>
      <w:r>
        <w:t>2.3.1.1 水源地概况</w:t>
      </w:r>
    </w:p>
    <w:p>
      <w:pPr>
        <w:ind w:firstLine="480"/>
        <w:rPr>
          <w:rFonts w:cs="Times New Roman"/>
        </w:rPr>
      </w:pPr>
      <w:r>
        <w:rPr>
          <w:rFonts w:cs="Times New Roman"/>
        </w:rPr>
        <w:t>全县下辖4镇9乡，乡镇集中式供水水源均为地下水型水源，供水井地下水类型为碳酸盐岩岩溶水、碎屑岩类裂隙水、松散岩类孔隙水。全县所辖13个乡镇中，东关镇为城镇集中供水，为铁匠铺水源地，已完成水源保护区划分工作；韩家川与林遮峪采用黄河阶地孔隙潜水分散供水，其余10个乡镇均属集中供水。</w:t>
      </w:r>
      <w:r>
        <w:rPr>
          <w:rFonts w:hint="eastAsia" w:cs="Times New Roman"/>
        </w:rPr>
        <w:t>保德县水源地分布详见附图8。</w:t>
      </w:r>
    </w:p>
    <w:p>
      <w:pPr>
        <w:pStyle w:val="9"/>
      </w:pPr>
      <w:r>
        <w:t>2.3.1.2铁匠铺水源地情况</w:t>
      </w:r>
    </w:p>
    <w:p>
      <w:pPr>
        <w:ind w:firstLine="480"/>
        <w:rPr>
          <w:rFonts w:cs="Times New Roman"/>
        </w:rPr>
      </w:pPr>
      <w:r>
        <w:rPr>
          <w:rFonts w:cs="Times New Roman"/>
        </w:rPr>
        <w:t>该水源地位于保德县铁匠铺桥西北黄河漫滩，北距天桥水电站黄河大堤1.5 km，南距保德县城6 km，水源地西临黄河，东靠黄土覆盖的低山，南部以铁匠铺为界，面积0.064 km</w:t>
      </w:r>
      <w:r>
        <w:rPr>
          <w:rFonts w:cs="Times New Roman"/>
          <w:vertAlign w:val="superscript"/>
        </w:rPr>
        <w:t>2</w:t>
      </w:r>
      <w:r>
        <w:rPr>
          <w:rFonts w:cs="Times New Roman"/>
        </w:rPr>
        <w:t>。</w:t>
      </w:r>
    </w:p>
    <w:p>
      <w:pPr>
        <w:spacing w:line="360" w:lineRule="auto"/>
        <w:ind w:firstLine="480"/>
        <w:rPr>
          <w:rFonts w:cs="Times New Roman"/>
        </w:rPr>
      </w:pPr>
      <w:r>
        <w:rPr>
          <w:rFonts w:cs="Times New Roman"/>
        </w:rPr>
        <w:t>根据《山西省保德县电厂铁匠铺水源地水文地质详勘报告》，该水源地多年平均可开采量为9855万m</w:t>
      </w:r>
      <w:r>
        <w:rPr>
          <w:rFonts w:cs="Times New Roman"/>
          <w:vertAlign w:val="superscript"/>
        </w:rPr>
        <w:t>3</w:t>
      </w:r>
      <w:r>
        <w:rPr>
          <w:rFonts w:cs="Times New Roman"/>
        </w:rPr>
        <w:t>/d（27万m</w:t>
      </w:r>
      <w:r>
        <w:rPr>
          <w:rFonts w:cs="Times New Roman"/>
          <w:vertAlign w:val="superscript"/>
        </w:rPr>
        <w:t>3</w:t>
      </w:r>
      <w:r>
        <w:rPr>
          <w:rFonts w:cs="Times New Roman"/>
        </w:rPr>
        <w:t>/d），经国家储委审查批准B+C级可开采量为9461万m</w:t>
      </w:r>
      <w:r>
        <w:rPr>
          <w:rFonts w:cs="Times New Roman"/>
          <w:vertAlign w:val="superscript"/>
        </w:rPr>
        <w:t>3</w:t>
      </w:r>
      <w:r>
        <w:rPr>
          <w:rFonts w:cs="Times New Roman"/>
        </w:rPr>
        <w:t>/d（225.92万m</w:t>
      </w:r>
      <w:r>
        <w:rPr>
          <w:rFonts w:cs="Times New Roman"/>
          <w:vertAlign w:val="superscript"/>
        </w:rPr>
        <w:t>3</w:t>
      </w:r>
      <w:r>
        <w:rPr>
          <w:rFonts w:cs="Times New Roman"/>
        </w:rPr>
        <w:t>/d）。该水源地设置一级保护区，不设二级保护区。</w:t>
      </w:r>
    </w:p>
    <w:p>
      <w:pPr>
        <w:pStyle w:val="9"/>
        <w:spacing w:line="360" w:lineRule="auto"/>
      </w:pPr>
      <w:r>
        <w:t>2.3.1.3 其他乡镇水源地情况</w:t>
      </w:r>
    </w:p>
    <w:p>
      <w:pPr>
        <w:ind w:firstLine="480"/>
        <w:rPr>
          <w:rFonts w:cs="Times New Roman"/>
        </w:rPr>
      </w:pPr>
      <w:r>
        <w:rPr>
          <w:rFonts w:cs="Times New Roman"/>
        </w:rPr>
        <w:t>全县10处乡镇集中供水工程共计服务（含10个乡镇在内）40个行政村，服务人口22378人，设计供水能力为8560m</w:t>
      </w:r>
      <w:r>
        <w:rPr>
          <w:rFonts w:cs="Times New Roman"/>
          <w:vertAlign w:val="superscript"/>
        </w:rPr>
        <w:t>3</w:t>
      </w:r>
      <w:r>
        <w:rPr>
          <w:rFonts w:cs="Times New Roman"/>
        </w:rPr>
        <w:t>/d。</w:t>
      </w:r>
    </w:p>
    <w:p>
      <w:pPr>
        <w:ind w:firstLine="480"/>
        <w:rPr>
          <w:rFonts w:cs="Times New Roman"/>
        </w:rPr>
      </w:pPr>
      <w:r>
        <w:rPr>
          <w:rFonts w:cs="Times New Roman"/>
        </w:rPr>
        <w:t>采用集中供水的10个乡镇均设有1处集中供水工程，均为地下水型水源地。其中，桥头镇、杨家湾镇、义门乡、腰庄乡、窑洼乡、尧圪台乡、孙家沟乡、南河沟乡、土崖塔乡各有供水井1眼；冯家川乡为引（泉）水集中供水工程。供水水源地基本情况调查见表2-5。</w:t>
      </w:r>
    </w:p>
    <w:p>
      <w:pPr>
        <w:spacing w:line="240" w:lineRule="auto"/>
        <w:ind w:firstLine="420"/>
        <w:jc w:val="center"/>
        <w:rPr>
          <w:rFonts w:eastAsia="黑体" w:cs="Times New Roman"/>
          <w:sz w:val="21"/>
        </w:rPr>
      </w:pPr>
      <w:r>
        <w:rPr>
          <w:rFonts w:eastAsia="黑体" w:cs="Times New Roman"/>
          <w:sz w:val="21"/>
        </w:rPr>
        <w:t>表2-5保德县其他乡镇集中式供水情况统计表</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134"/>
        <w:gridCol w:w="1985"/>
        <w:gridCol w:w="1275"/>
        <w:gridCol w:w="1276"/>
        <w:gridCol w:w="24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0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序号</w:t>
            </w:r>
          </w:p>
        </w:tc>
        <w:tc>
          <w:tcPr>
            <w:tcW w:w="113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乡镇</w:t>
            </w:r>
          </w:p>
        </w:tc>
        <w:tc>
          <w:tcPr>
            <w:tcW w:w="1985"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水源地含水层类型</w:t>
            </w:r>
          </w:p>
        </w:tc>
        <w:tc>
          <w:tcPr>
            <w:tcW w:w="1275"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水源地个数</w:t>
            </w:r>
          </w:p>
        </w:tc>
        <w:tc>
          <w:tcPr>
            <w:tcW w:w="1276"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水源井个数</w:t>
            </w:r>
          </w:p>
        </w:tc>
        <w:tc>
          <w:tcPr>
            <w:tcW w:w="2460"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0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w:t>
            </w:r>
          </w:p>
        </w:tc>
        <w:tc>
          <w:tcPr>
            <w:tcW w:w="113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义门镇</w:t>
            </w:r>
          </w:p>
        </w:tc>
        <w:tc>
          <w:tcPr>
            <w:tcW w:w="1985"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岩溶水（深井）</w:t>
            </w:r>
          </w:p>
        </w:tc>
        <w:tc>
          <w:tcPr>
            <w:tcW w:w="1275"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w:t>
            </w:r>
          </w:p>
        </w:tc>
        <w:tc>
          <w:tcPr>
            <w:tcW w:w="1276"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w:t>
            </w:r>
          </w:p>
        </w:tc>
        <w:tc>
          <w:tcPr>
            <w:tcW w:w="2460" w:type="dxa"/>
            <w:vMerge w:val="restart"/>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乡镇驻地集中供水水源地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0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2</w:t>
            </w:r>
          </w:p>
        </w:tc>
        <w:tc>
          <w:tcPr>
            <w:tcW w:w="113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腰庄乡</w:t>
            </w:r>
          </w:p>
        </w:tc>
        <w:tc>
          <w:tcPr>
            <w:tcW w:w="1985"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岩溶水（深井）</w:t>
            </w:r>
          </w:p>
        </w:tc>
        <w:tc>
          <w:tcPr>
            <w:tcW w:w="1275"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w:t>
            </w:r>
          </w:p>
        </w:tc>
        <w:tc>
          <w:tcPr>
            <w:tcW w:w="1276"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w:t>
            </w:r>
          </w:p>
        </w:tc>
        <w:tc>
          <w:tcPr>
            <w:tcW w:w="2460" w:type="dxa"/>
            <w:vMerge w:val="continue"/>
            <w:vAlign w:val="center"/>
          </w:tcPr>
          <w:p>
            <w:pPr>
              <w:spacing w:line="240" w:lineRule="auto"/>
              <w:ind w:firstLine="0" w:firstLineChars="0"/>
              <w:jc w:val="center"/>
              <w:rPr>
                <w:rFonts w:eastAsia="微软雅黑"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0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3</w:t>
            </w:r>
          </w:p>
        </w:tc>
        <w:tc>
          <w:tcPr>
            <w:tcW w:w="113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杨家湾镇</w:t>
            </w:r>
          </w:p>
        </w:tc>
        <w:tc>
          <w:tcPr>
            <w:tcW w:w="1985"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岩溶水（深井）</w:t>
            </w:r>
          </w:p>
        </w:tc>
        <w:tc>
          <w:tcPr>
            <w:tcW w:w="1275"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w:t>
            </w:r>
          </w:p>
        </w:tc>
        <w:tc>
          <w:tcPr>
            <w:tcW w:w="1276"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w:t>
            </w:r>
          </w:p>
        </w:tc>
        <w:tc>
          <w:tcPr>
            <w:tcW w:w="2460" w:type="dxa"/>
            <w:vMerge w:val="continue"/>
            <w:vAlign w:val="center"/>
          </w:tcPr>
          <w:p>
            <w:pPr>
              <w:spacing w:line="240" w:lineRule="auto"/>
              <w:ind w:firstLine="0" w:firstLineChars="0"/>
              <w:jc w:val="center"/>
              <w:rPr>
                <w:rFonts w:eastAsia="微软雅黑"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0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4</w:t>
            </w:r>
          </w:p>
        </w:tc>
        <w:tc>
          <w:tcPr>
            <w:tcW w:w="113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桥头镇</w:t>
            </w:r>
          </w:p>
        </w:tc>
        <w:tc>
          <w:tcPr>
            <w:tcW w:w="1985"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岩溶水（深井）</w:t>
            </w:r>
          </w:p>
        </w:tc>
        <w:tc>
          <w:tcPr>
            <w:tcW w:w="1275"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w:t>
            </w:r>
          </w:p>
        </w:tc>
        <w:tc>
          <w:tcPr>
            <w:tcW w:w="1276"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w:t>
            </w:r>
          </w:p>
        </w:tc>
        <w:tc>
          <w:tcPr>
            <w:tcW w:w="2460" w:type="dxa"/>
            <w:vMerge w:val="continue"/>
            <w:vAlign w:val="center"/>
          </w:tcPr>
          <w:p>
            <w:pPr>
              <w:spacing w:line="240" w:lineRule="auto"/>
              <w:ind w:firstLine="0" w:firstLineChars="0"/>
              <w:jc w:val="center"/>
              <w:rPr>
                <w:rFonts w:eastAsia="微软雅黑"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0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5</w:t>
            </w:r>
          </w:p>
        </w:tc>
        <w:tc>
          <w:tcPr>
            <w:tcW w:w="113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窑洼乡</w:t>
            </w:r>
          </w:p>
        </w:tc>
        <w:tc>
          <w:tcPr>
            <w:tcW w:w="1985"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岩溶水（深井）</w:t>
            </w:r>
          </w:p>
        </w:tc>
        <w:tc>
          <w:tcPr>
            <w:tcW w:w="1275"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w:t>
            </w:r>
          </w:p>
        </w:tc>
        <w:tc>
          <w:tcPr>
            <w:tcW w:w="1276"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w:t>
            </w:r>
          </w:p>
        </w:tc>
        <w:tc>
          <w:tcPr>
            <w:tcW w:w="2460" w:type="dxa"/>
            <w:vMerge w:val="continue"/>
            <w:vAlign w:val="center"/>
          </w:tcPr>
          <w:p>
            <w:pPr>
              <w:spacing w:line="240" w:lineRule="auto"/>
              <w:ind w:firstLine="0" w:firstLineChars="0"/>
              <w:jc w:val="center"/>
              <w:rPr>
                <w:rFonts w:eastAsia="微软雅黑"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0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6</w:t>
            </w:r>
          </w:p>
        </w:tc>
        <w:tc>
          <w:tcPr>
            <w:tcW w:w="113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窑圪台乡</w:t>
            </w:r>
          </w:p>
        </w:tc>
        <w:tc>
          <w:tcPr>
            <w:tcW w:w="1985"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岩溶水（深井）</w:t>
            </w:r>
          </w:p>
        </w:tc>
        <w:tc>
          <w:tcPr>
            <w:tcW w:w="1275"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w:t>
            </w:r>
          </w:p>
        </w:tc>
        <w:tc>
          <w:tcPr>
            <w:tcW w:w="1276"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w:t>
            </w:r>
          </w:p>
        </w:tc>
        <w:tc>
          <w:tcPr>
            <w:tcW w:w="2460" w:type="dxa"/>
            <w:vMerge w:val="continue"/>
            <w:vAlign w:val="center"/>
          </w:tcPr>
          <w:p>
            <w:pPr>
              <w:spacing w:line="240" w:lineRule="auto"/>
              <w:ind w:firstLine="0" w:firstLineChars="0"/>
              <w:jc w:val="center"/>
              <w:rPr>
                <w:rFonts w:eastAsia="微软雅黑"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0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7</w:t>
            </w:r>
          </w:p>
        </w:tc>
        <w:tc>
          <w:tcPr>
            <w:tcW w:w="113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孙家沟乡</w:t>
            </w:r>
          </w:p>
        </w:tc>
        <w:tc>
          <w:tcPr>
            <w:tcW w:w="1985"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岩溶水（深井）</w:t>
            </w:r>
          </w:p>
        </w:tc>
        <w:tc>
          <w:tcPr>
            <w:tcW w:w="1275"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w:t>
            </w:r>
          </w:p>
        </w:tc>
        <w:tc>
          <w:tcPr>
            <w:tcW w:w="1276"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w:t>
            </w:r>
          </w:p>
        </w:tc>
        <w:tc>
          <w:tcPr>
            <w:tcW w:w="2460" w:type="dxa"/>
            <w:vMerge w:val="continue"/>
            <w:vAlign w:val="center"/>
          </w:tcPr>
          <w:p>
            <w:pPr>
              <w:spacing w:line="240" w:lineRule="auto"/>
              <w:ind w:firstLine="0" w:firstLineChars="0"/>
              <w:jc w:val="center"/>
              <w:rPr>
                <w:rFonts w:eastAsia="微软雅黑"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0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8</w:t>
            </w:r>
          </w:p>
        </w:tc>
        <w:tc>
          <w:tcPr>
            <w:tcW w:w="113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南河沟乡</w:t>
            </w:r>
          </w:p>
        </w:tc>
        <w:tc>
          <w:tcPr>
            <w:tcW w:w="1985"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岩溶水（深井）</w:t>
            </w:r>
          </w:p>
        </w:tc>
        <w:tc>
          <w:tcPr>
            <w:tcW w:w="1275"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w:t>
            </w:r>
          </w:p>
        </w:tc>
        <w:tc>
          <w:tcPr>
            <w:tcW w:w="1276"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w:t>
            </w:r>
          </w:p>
        </w:tc>
        <w:tc>
          <w:tcPr>
            <w:tcW w:w="2460" w:type="dxa"/>
            <w:vMerge w:val="continue"/>
            <w:vAlign w:val="center"/>
          </w:tcPr>
          <w:p>
            <w:pPr>
              <w:spacing w:line="240" w:lineRule="auto"/>
              <w:ind w:firstLine="0" w:firstLineChars="0"/>
              <w:jc w:val="center"/>
              <w:rPr>
                <w:rFonts w:eastAsia="微软雅黑"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0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9</w:t>
            </w:r>
          </w:p>
        </w:tc>
        <w:tc>
          <w:tcPr>
            <w:tcW w:w="113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土崖塔乡</w:t>
            </w:r>
          </w:p>
        </w:tc>
        <w:tc>
          <w:tcPr>
            <w:tcW w:w="1985"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孔隙水（浅井）</w:t>
            </w:r>
          </w:p>
        </w:tc>
        <w:tc>
          <w:tcPr>
            <w:tcW w:w="1275"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w:t>
            </w:r>
          </w:p>
        </w:tc>
        <w:tc>
          <w:tcPr>
            <w:tcW w:w="1276"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w:t>
            </w:r>
          </w:p>
        </w:tc>
        <w:tc>
          <w:tcPr>
            <w:tcW w:w="2460" w:type="dxa"/>
            <w:vMerge w:val="continue"/>
            <w:vAlign w:val="center"/>
          </w:tcPr>
          <w:p>
            <w:pPr>
              <w:spacing w:line="240" w:lineRule="auto"/>
              <w:ind w:firstLine="0" w:firstLineChars="0"/>
              <w:jc w:val="center"/>
              <w:rPr>
                <w:rFonts w:eastAsia="微软雅黑"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0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10</w:t>
            </w:r>
          </w:p>
        </w:tc>
        <w:tc>
          <w:tcPr>
            <w:tcW w:w="113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冯家川乡</w:t>
            </w:r>
          </w:p>
        </w:tc>
        <w:tc>
          <w:tcPr>
            <w:tcW w:w="1985"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裂隙水（下降泉）</w:t>
            </w:r>
          </w:p>
        </w:tc>
        <w:tc>
          <w:tcPr>
            <w:tcW w:w="1275"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w:t>
            </w:r>
          </w:p>
        </w:tc>
        <w:tc>
          <w:tcPr>
            <w:tcW w:w="1276"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w:t>
            </w:r>
          </w:p>
        </w:tc>
        <w:tc>
          <w:tcPr>
            <w:tcW w:w="2460" w:type="dxa"/>
            <w:vMerge w:val="continue"/>
            <w:vAlign w:val="center"/>
          </w:tcPr>
          <w:p>
            <w:pPr>
              <w:spacing w:line="240" w:lineRule="auto"/>
              <w:ind w:firstLine="0" w:firstLineChars="0"/>
              <w:jc w:val="center"/>
              <w:rPr>
                <w:rFonts w:eastAsia="微软雅黑" w:cs="Times New Roman"/>
                <w:kern w:val="0"/>
                <w:sz w:val="21"/>
                <w:szCs w:val="21"/>
              </w:rPr>
            </w:pPr>
          </w:p>
        </w:tc>
      </w:tr>
    </w:tbl>
    <w:p>
      <w:pPr>
        <w:spacing w:line="480" w:lineRule="auto"/>
        <w:ind w:firstLine="480"/>
        <w:rPr>
          <w:rFonts w:eastAsia="黑体" w:cs="Times New Roman"/>
          <w:sz w:val="21"/>
          <w:szCs w:val="21"/>
        </w:rPr>
      </w:pPr>
      <w:r>
        <w:rPr>
          <w:rFonts w:cs="Times New Roman"/>
        </w:rPr>
        <w:t>各水源地保护区范围详见表2-6。</w:t>
      </w:r>
    </w:p>
    <w:p>
      <w:pPr>
        <w:spacing w:line="240" w:lineRule="auto"/>
        <w:ind w:firstLine="420"/>
        <w:jc w:val="center"/>
        <w:rPr>
          <w:rFonts w:eastAsia="黑体" w:cs="Times New Roman"/>
          <w:sz w:val="21"/>
          <w:szCs w:val="21"/>
        </w:rPr>
        <w:sectPr>
          <w:footerReference r:id="rId7" w:type="default"/>
          <w:pgSz w:w="11906" w:h="16838"/>
          <w:pgMar w:top="1361" w:right="1531" w:bottom="1361" w:left="1531" w:header="851" w:footer="992" w:gutter="0"/>
          <w:pgNumType w:start="1"/>
          <w:cols w:space="425" w:num="1"/>
          <w:docGrid w:type="lines" w:linePitch="326" w:charSpace="0"/>
        </w:sectPr>
      </w:pPr>
    </w:p>
    <w:p>
      <w:pPr>
        <w:spacing w:line="480" w:lineRule="auto"/>
        <w:ind w:firstLine="0" w:firstLineChars="0"/>
        <w:jc w:val="center"/>
        <w:rPr>
          <w:rFonts w:cs="Times New Roman"/>
        </w:rPr>
      </w:pPr>
      <w:r>
        <w:rPr>
          <w:rFonts w:eastAsia="黑体" w:cs="Times New Roman"/>
          <w:sz w:val="21"/>
          <w:szCs w:val="21"/>
        </w:rPr>
        <w:t>表2-6 保德县集中式饮用水源地保护区范围</w:t>
      </w:r>
    </w:p>
    <w:tbl>
      <w:tblPr>
        <w:tblStyle w:val="29"/>
        <w:tblW w:w="14549" w:type="dxa"/>
        <w:tblInd w:w="-28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60"/>
        <w:gridCol w:w="1467"/>
        <w:gridCol w:w="518"/>
        <w:gridCol w:w="819"/>
        <w:gridCol w:w="1126"/>
        <w:gridCol w:w="653"/>
        <w:gridCol w:w="655"/>
        <w:gridCol w:w="807"/>
        <w:gridCol w:w="847"/>
        <w:gridCol w:w="638"/>
        <w:gridCol w:w="922"/>
        <w:gridCol w:w="826"/>
        <w:gridCol w:w="996"/>
        <w:gridCol w:w="914"/>
        <w:gridCol w:w="900"/>
        <w:gridCol w:w="90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560" w:type="dxa"/>
            <w:vMerge w:val="restart"/>
            <w:vAlign w:val="center"/>
          </w:tcPr>
          <w:p>
            <w:pPr>
              <w:kinsoku w:val="0"/>
              <w:overflowPunct w:val="0"/>
              <w:autoSpaceDE w:val="0"/>
              <w:autoSpaceDN w:val="0"/>
              <w:adjustRightInd w:val="0"/>
              <w:spacing w:line="240" w:lineRule="atLeast"/>
              <w:ind w:firstLine="0" w:firstLineChars="0"/>
              <w:jc w:val="center"/>
              <w:rPr>
                <w:rFonts w:cs="Times New Roman" w:eastAsiaTheme="minorEastAsia"/>
                <w:kern w:val="0"/>
                <w:szCs w:val="24"/>
              </w:rPr>
            </w:pPr>
            <w:r>
              <w:rPr>
                <w:rFonts w:cs="Times New Roman"/>
                <w:kern w:val="0"/>
                <w:sz w:val="21"/>
                <w:szCs w:val="21"/>
              </w:rPr>
              <w:t>水源地名称</w:t>
            </w:r>
          </w:p>
        </w:tc>
        <w:tc>
          <w:tcPr>
            <w:tcW w:w="1467" w:type="dxa"/>
            <w:vMerge w:val="restart"/>
            <w:vAlign w:val="center"/>
          </w:tcPr>
          <w:p>
            <w:pPr>
              <w:kinsoku w:val="0"/>
              <w:overflowPunct w:val="0"/>
              <w:autoSpaceDE w:val="0"/>
              <w:autoSpaceDN w:val="0"/>
              <w:adjustRightInd w:val="0"/>
              <w:spacing w:line="240" w:lineRule="atLeast"/>
              <w:ind w:firstLine="0" w:firstLineChars="0"/>
              <w:jc w:val="center"/>
              <w:rPr>
                <w:rFonts w:cs="Times New Roman" w:eastAsiaTheme="minorEastAsia"/>
                <w:kern w:val="0"/>
                <w:szCs w:val="24"/>
              </w:rPr>
            </w:pPr>
            <w:r>
              <w:rPr>
                <w:rFonts w:cs="Times New Roman"/>
                <w:kern w:val="0"/>
                <w:sz w:val="21"/>
                <w:szCs w:val="21"/>
              </w:rPr>
              <w:t>水源地编码</w:t>
            </w:r>
          </w:p>
        </w:tc>
        <w:tc>
          <w:tcPr>
            <w:tcW w:w="518" w:type="dxa"/>
            <w:vMerge w:val="restart"/>
            <w:vAlign w:val="center"/>
          </w:tcPr>
          <w:p>
            <w:pPr>
              <w:kinsoku w:val="0"/>
              <w:overflowPunct w:val="0"/>
              <w:autoSpaceDE w:val="0"/>
              <w:autoSpaceDN w:val="0"/>
              <w:adjustRightInd w:val="0"/>
              <w:spacing w:line="240" w:lineRule="atLeast"/>
              <w:ind w:firstLine="0" w:firstLineChars="0"/>
              <w:jc w:val="center"/>
              <w:rPr>
                <w:rFonts w:cs="Times New Roman" w:eastAsiaTheme="minorEastAsia"/>
                <w:kern w:val="0"/>
                <w:szCs w:val="24"/>
              </w:rPr>
            </w:pPr>
            <w:r>
              <w:rPr>
                <w:rFonts w:cs="Times New Roman"/>
                <w:kern w:val="0"/>
                <w:sz w:val="21"/>
                <w:szCs w:val="21"/>
              </w:rPr>
              <w:t>水源井编号</w:t>
            </w:r>
          </w:p>
        </w:tc>
        <w:tc>
          <w:tcPr>
            <w:tcW w:w="819" w:type="dxa"/>
            <w:vMerge w:val="restart"/>
            <w:vAlign w:val="center"/>
          </w:tcPr>
          <w:p>
            <w:pPr>
              <w:kinsoku w:val="0"/>
              <w:overflowPunct w:val="0"/>
              <w:autoSpaceDE w:val="0"/>
              <w:autoSpaceDN w:val="0"/>
              <w:adjustRightInd w:val="0"/>
              <w:spacing w:line="240" w:lineRule="atLeast"/>
              <w:ind w:firstLine="0" w:firstLineChars="0"/>
              <w:jc w:val="center"/>
              <w:rPr>
                <w:rFonts w:cs="Times New Roman" w:eastAsiaTheme="minorEastAsia"/>
                <w:kern w:val="0"/>
                <w:sz w:val="16"/>
                <w:szCs w:val="16"/>
              </w:rPr>
            </w:pPr>
          </w:p>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井深</w:t>
            </w:r>
          </w:p>
          <w:p>
            <w:pPr>
              <w:kinsoku w:val="0"/>
              <w:overflowPunct w:val="0"/>
              <w:autoSpaceDE w:val="0"/>
              <w:autoSpaceDN w:val="0"/>
              <w:adjustRightInd w:val="0"/>
              <w:spacing w:line="240" w:lineRule="atLeast"/>
              <w:ind w:firstLine="0" w:firstLineChars="0"/>
              <w:jc w:val="center"/>
              <w:rPr>
                <w:rFonts w:cs="Times New Roman" w:eastAsiaTheme="minorEastAsia"/>
                <w:kern w:val="0"/>
                <w:szCs w:val="24"/>
              </w:rPr>
            </w:pPr>
            <w:r>
              <w:rPr>
                <w:rFonts w:cs="Times New Roman" w:eastAsiaTheme="minorEastAsia"/>
                <w:kern w:val="0"/>
                <w:sz w:val="21"/>
                <w:szCs w:val="21"/>
              </w:rPr>
              <w:t>(m)</w:t>
            </w:r>
          </w:p>
        </w:tc>
        <w:tc>
          <w:tcPr>
            <w:tcW w:w="1126" w:type="dxa"/>
            <w:vMerge w:val="restart"/>
            <w:vAlign w:val="center"/>
          </w:tcPr>
          <w:p>
            <w:pPr>
              <w:kinsoku w:val="0"/>
              <w:overflowPunct w:val="0"/>
              <w:autoSpaceDE w:val="0"/>
              <w:autoSpaceDN w:val="0"/>
              <w:adjustRightInd w:val="0"/>
              <w:spacing w:line="240" w:lineRule="atLeast"/>
              <w:ind w:firstLine="0" w:firstLineChars="0"/>
              <w:jc w:val="center"/>
              <w:rPr>
                <w:rFonts w:cs="Times New Roman" w:eastAsiaTheme="minorEastAsia"/>
                <w:kern w:val="0"/>
                <w:szCs w:val="24"/>
              </w:rPr>
            </w:pPr>
            <w:r>
              <w:rPr>
                <w:rFonts w:cs="Times New Roman"/>
                <w:kern w:val="0"/>
                <w:sz w:val="21"/>
                <w:szCs w:val="21"/>
              </w:rPr>
              <w:t>含水层类型</w:t>
            </w:r>
          </w:p>
        </w:tc>
        <w:tc>
          <w:tcPr>
            <w:tcW w:w="1308" w:type="dxa"/>
            <w:gridSpan w:val="2"/>
            <w:vAlign w:val="center"/>
          </w:tcPr>
          <w:p>
            <w:pPr>
              <w:kinsoku w:val="0"/>
              <w:overflowPunct w:val="0"/>
              <w:autoSpaceDE w:val="0"/>
              <w:autoSpaceDN w:val="0"/>
              <w:adjustRightInd w:val="0"/>
              <w:spacing w:line="240" w:lineRule="atLeast"/>
              <w:ind w:firstLine="0" w:firstLineChars="0"/>
              <w:jc w:val="center"/>
              <w:rPr>
                <w:rFonts w:cs="Times New Roman" w:eastAsiaTheme="minorEastAsia"/>
                <w:kern w:val="0"/>
                <w:szCs w:val="24"/>
              </w:rPr>
            </w:pPr>
            <w:r>
              <w:rPr>
                <w:rFonts w:cs="Times New Roman"/>
                <w:kern w:val="0"/>
                <w:sz w:val="21"/>
                <w:szCs w:val="21"/>
              </w:rPr>
              <w:t>开采含水层</w:t>
            </w:r>
          </w:p>
        </w:tc>
        <w:tc>
          <w:tcPr>
            <w:tcW w:w="807" w:type="dxa"/>
            <w:vMerge w:val="restart"/>
            <w:vAlign w:val="center"/>
          </w:tcPr>
          <w:p>
            <w:pPr>
              <w:kinsoku w:val="0"/>
              <w:overflowPunct w:val="0"/>
              <w:autoSpaceDE w:val="0"/>
              <w:autoSpaceDN w:val="0"/>
              <w:adjustRightInd w:val="0"/>
              <w:spacing w:line="240" w:lineRule="atLeast"/>
              <w:ind w:firstLine="0" w:firstLineChars="0"/>
              <w:jc w:val="center"/>
              <w:rPr>
                <w:rFonts w:cs="Times New Roman" w:eastAsiaTheme="minorEastAsia"/>
                <w:kern w:val="0"/>
                <w:szCs w:val="24"/>
              </w:rPr>
            </w:pPr>
            <w:r>
              <w:rPr>
                <w:rFonts w:cs="Times New Roman"/>
                <w:kern w:val="0"/>
                <w:sz w:val="21"/>
                <w:szCs w:val="21"/>
              </w:rPr>
              <w:t>井口标高(m)</w:t>
            </w:r>
          </w:p>
        </w:tc>
        <w:tc>
          <w:tcPr>
            <w:tcW w:w="847" w:type="dxa"/>
            <w:vMerge w:val="restart"/>
            <w:vAlign w:val="center"/>
          </w:tcPr>
          <w:p>
            <w:pPr>
              <w:kinsoku w:val="0"/>
              <w:overflowPunct w:val="0"/>
              <w:autoSpaceDE w:val="0"/>
              <w:autoSpaceDN w:val="0"/>
              <w:adjustRightInd w:val="0"/>
              <w:spacing w:line="240" w:lineRule="atLeast"/>
              <w:ind w:firstLine="0" w:firstLineChars="0"/>
              <w:jc w:val="center"/>
              <w:rPr>
                <w:rFonts w:cs="Times New Roman" w:eastAsiaTheme="minorEastAsia"/>
                <w:kern w:val="0"/>
                <w:sz w:val="16"/>
                <w:szCs w:val="16"/>
              </w:rPr>
            </w:pPr>
          </w:p>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静水位</w:t>
            </w:r>
          </w:p>
          <w:p>
            <w:pPr>
              <w:kinsoku w:val="0"/>
              <w:overflowPunct w:val="0"/>
              <w:autoSpaceDE w:val="0"/>
              <w:autoSpaceDN w:val="0"/>
              <w:adjustRightInd w:val="0"/>
              <w:spacing w:line="240" w:lineRule="atLeast"/>
              <w:ind w:firstLine="0" w:firstLineChars="0"/>
              <w:jc w:val="center"/>
              <w:rPr>
                <w:rFonts w:cs="Times New Roman" w:eastAsiaTheme="minorEastAsia"/>
                <w:kern w:val="0"/>
                <w:szCs w:val="24"/>
              </w:rPr>
            </w:pPr>
            <w:r>
              <w:rPr>
                <w:rFonts w:cs="Times New Roman" w:eastAsiaTheme="minorEastAsia"/>
                <w:kern w:val="0"/>
                <w:sz w:val="21"/>
                <w:szCs w:val="21"/>
              </w:rPr>
              <w:t>(m)</w:t>
            </w:r>
          </w:p>
        </w:tc>
        <w:tc>
          <w:tcPr>
            <w:tcW w:w="638" w:type="dxa"/>
            <w:vMerge w:val="restart"/>
            <w:vAlign w:val="center"/>
          </w:tcPr>
          <w:p>
            <w:pPr>
              <w:kinsoku w:val="0"/>
              <w:overflowPunct w:val="0"/>
              <w:autoSpaceDE w:val="0"/>
              <w:autoSpaceDN w:val="0"/>
              <w:adjustRightInd w:val="0"/>
              <w:spacing w:line="240" w:lineRule="atLeast"/>
              <w:ind w:firstLine="0" w:firstLineChars="0"/>
              <w:jc w:val="center"/>
              <w:rPr>
                <w:rFonts w:cs="Times New Roman" w:eastAsiaTheme="minorEastAsia"/>
                <w:kern w:val="0"/>
                <w:sz w:val="16"/>
                <w:szCs w:val="16"/>
              </w:rPr>
            </w:pPr>
          </w:p>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降深</w:t>
            </w:r>
          </w:p>
          <w:p>
            <w:pPr>
              <w:kinsoku w:val="0"/>
              <w:overflowPunct w:val="0"/>
              <w:autoSpaceDE w:val="0"/>
              <w:autoSpaceDN w:val="0"/>
              <w:adjustRightInd w:val="0"/>
              <w:spacing w:line="240" w:lineRule="atLeast"/>
              <w:ind w:firstLine="0" w:firstLineChars="0"/>
              <w:jc w:val="center"/>
              <w:rPr>
                <w:rFonts w:cs="Times New Roman" w:eastAsiaTheme="minorEastAsia"/>
                <w:kern w:val="0"/>
                <w:szCs w:val="24"/>
              </w:rPr>
            </w:pPr>
            <w:r>
              <w:rPr>
                <w:rFonts w:cs="Times New Roman" w:eastAsiaTheme="minorEastAsia"/>
                <w:kern w:val="0"/>
                <w:sz w:val="21"/>
                <w:szCs w:val="21"/>
              </w:rPr>
              <w:t>(m)</w:t>
            </w:r>
          </w:p>
        </w:tc>
        <w:tc>
          <w:tcPr>
            <w:tcW w:w="1748" w:type="dxa"/>
            <w:gridSpan w:val="2"/>
            <w:vAlign w:val="center"/>
          </w:tcPr>
          <w:p>
            <w:pPr>
              <w:kinsoku w:val="0"/>
              <w:overflowPunct w:val="0"/>
              <w:autoSpaceDE w:val="0"/>
              <w:autoSpaceDN w:val="0"/>
              <w:adjustRightInd w:val="0"/>
              <w:spacing w:line="240" w:lineRule="atLeast"/>
              <w:ind w:firstLine="0" w:firstLineChars="0"/>
              <w:jc w:val="center"/>
              <w:rPr>
                <w:rFonts w:cs="Times New Roman" w:eastAsiaTheme="minorEastAsia"/>
                <w:kern w:val="0"/>
                <w:szCs w:val="24"/>
              </w:rPr>
            </w:pPr>
            <w:r>
              <w:rPr>
                <w:rFonts w:cs="Times New Roman"/>
                <w:kern w:val="0"/>
                <w:sz w:val="21"/>
                <w:szCs w:val="21"/>
              </w:rPr>
              <w:t>水源井位置</w:t>
            </w:r>
          </w:p>
        </w:tc>
        <w:tc>
          <w:tcPr>
            <w:tcW w:w="996" w:type="dxa"/>
            <w:vMerge w:val="restart"/>
            <w:vAlign w:val="center"/>
          </w:tcPr>
          <w:p>
            <w:pPr>
              <w:kinsoku w:val="0"/>
              <w:overflowPunct w:val="0"/>
              <w:autoSpaceDE w:val="0"/>
              <w:autoSpaceDN w:val="0"/>
              <w:adjustRightInd w:val="0"/>
              <w:spacing w:line="240" w:lineRule="atLeast"/>
              <w:ind w:firstLine="0" w:firstLineChars="0"/>
              <w:jc w:val="center"/>
              <w:rPr>
                <w:rFonts w:cs="Times New Roman" w:eastAsiaTheme="minorEastAsia"/>
                <w:kern w:val="0"/>
                <w:szCs w:val="24"/>
              </w:rPr>
            </w:pPr>
            <w:r>
              <w:rPr>
                <w:rFonts w:cs="Times New Roman"/>
                <w:kern w:val="0"/>
                <w:sz w:val="21"/>
                <w:szCs w:val="21"/>
              </w:rPr>
              <w:t>保护区级别</w:t>
            </w:r>
          </w:p>
        </w:tc>
        <w:tc>
          <w:tcPr>
            <w:tcW w:w="914" w:type="dxa"/>
            <w:vMerge w:val="restart"/>
            <w:vAlign w:val="center"/>
          </w:tcPr>
          <w:p>
            <w:pPr>
              <w:kinsoku w:val="0"/>
              <w:overflowPunct w:val="0"/>
              <w:autoSpaceDE w:val="0"/>
              <w:autoSpaceDN w:val="0"/>
              <w:adjustRightInd w:val="0"/>
              <w:spacing w:line="240" w:lineRule="atLeast"/>
              <w:ind w:firstLine="0" w:firstLineChars="0"/>
              <w:jc w:val="center"/>
              <w:rPr>
                <w:rFonts w:cs="Times New Roman" w:eastAsiaTheme="minorEastAsia"/>
                <w:kern w:val="0"/>
                <w:szCs w:val="24"/>
              </w:rPr>
            </w:pPr>
            <w:r>
              <w:rPr>
                <w:rFonts w:cs="Times New Roman"/>
                <w:kern w:val="0"/>
                <w:sz w:val="21"/>
                <w:szCs w:val="21"/>
              </w:rPr>
              <w:t>保护区半径(m)</w:t>
            </w:r>
          </w:p>
        </w:tc>
        <w:tc>
          <w:tcPr>
            <w:tcW w:w="900" w:type="dxa"/>
            <w:vMerge w:val="restart"/>
            <w:vAlign w:val="center"/>
          </w:tcPr>
          <w:p>
            <w:pPr>
              <w:kinsoku w:val="0"/>
              <w:overflowPunct w:val="0"/>
              <w:autoSpaceDE w:val="0"/>
              <w:autoSpaceDN w:val="0"/>
              <w:adjustRightInd w:val="0"/>
              <w:spacing w:line="240" w:lineRule="atLeast"/>
              <w:ind w:firstLine="0" w:firstLineChars="0"/>
              <w:jc w:val="center"/>
              <w:rPr>
                <w:rFonts w:cs="Times New Roman" w:eastAsiaTheme="minorEastAsia"/>
                <w:kern w:val="0"/>
                <w:szCs w:val="24"/>
              </w:rPr>
            </w:pPr>
            <w:r>
              <w:rPr>
                <w:rFonts w:cs="Times New Roman"/>
                <w:kern w:val="0"/>
                <w:sz w:val="21"/>
                <w:szCs w:val="21"/>
              </w:rPr>
              <w:t>保护区面积(km</w:t>
            </w:r>
            <w:r>
              <w:rPr>
                <w:rFonts w:cs="Times New Roman"/>
                <w:kern w:val="0"/>
                <w:position w:val="10"/>
                <w:sz w:val="14"/>
                <w:szCs w:val="14"/>
              </w:rPr>
              <w:t>2</w:t>
            </w:r>
            <w:r>
              <w:rPr>
                <w:rFonts w:cs="Times New Roman"/>
                <w:kern w:val="0"/>
                <w:sz w:val="21"/>
                <w:szCs w:val="21"/>
              </w:rPr>
              <w:t>)</w:t>
            </w:r>
          </w:p>
        </w:tc>
        <w:tc>
          <w:tcPr>
            <w:tcW w:w="901" w:type="dxa"/>
            <w:vMerge w:val="restart"/>
            <w:vAlign w:val="center"/>
          </w:tcPr>
          <w:p>
            <w:pPr>
              <w:kinsoku w:val="0"/>
              <w:overflowPunct w:val="0"/>
              <w:autoSpaceDE w:val="0"/>
              <w:autoSpaceDN w:val="0"/>
              <w:adjustRightInd w:val="0"/>
              <w:spacing w:line="240" w:lineRule="atLeast"/>
              <w:ind w:firstLine="0" w:firstLineChars="0"/>
              <w:jc w:val="center"/>
              <w:rPr>
                <w:rFonts w:cs="Times New Roman" w:eastAsiaTheme="minorEastAsia"/>
                <w:kern w:val="0"/>
                <w:szCs w:val="24"/>
              </w:rPr>
            </w:pPr>
            <w:r>
              <w:rPr>
                <w:rFonts w:cs="Times New Roman"/>
                <w:kern w:val="0"/>
                <w:sz w:val="21"/>
                <w:szCs w:val="21"/>
              </w:rPr>
              <w:t>保护区周长(km)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2" w:hRule="atLeast"/>
        </w:trPr>
        <w:tc>
          <w:tcPr>
            <w:tcW w:w="1560" w:type="dxa"/>
            <w:vMerge w:val="continue"/>
            <w:vAlign w:val="center"/>
          </w:tcPr>
          <w:p>
            <w:pPr>
              <w:kinsoku w:val="0"/>
              <w:overflowPunct w:val="0"/>
              <w:autoSpaceDE w:val="0"/>
              <w:autoSpaceDN w:val="0"/>
              <w:adjustRightInd w:val="0"/>
              <w:spacing w:line="240" w:lineRule="atLeast"/>
              <w:ind w:left="235" w:right="125" w:firstLine="0" w:firstLineChars="0"/>
              <w:jc w:val="center"/>
              <w:rPr>
                <w:rFonts w:cs="Times New Roman" w:eastAsiaTheme="minorEastAsia"/>
                <w:kern w:val="0"/>
                <w:szCs w:val="24"/>
              </w:rPr>
            </w:pPr>
          </w:p>
        </w:tc>
        <w:tc>
          <w:tcPr>
            <w:tcW w:w="1467" w:type="dxa"/>
            <w:vMerge w:val="continue"/>
            <w:vAlign w:val="center"/>
          </w:tcPr>
          <w:p>
            <w:pPr>
              <w:kinsoku w:val="0"/>
              <w:overflowPunct w:val="0"/>
              <w:autoSpaceDE w:val="0"/>
              <w:autoSpaceDN w:val="0"/>
              <w:adjustRightInd w:val="0"/>
              <w:spacing w:line="240" w:lineRule="atLeast"/>
              <w:ind w:left="235" w:right="125" w:firstLine="0" w:firstLineChars="0"/>
              <w:jc w:val="center"/>
              <w:rPr>
                <w:rFonts w:cs="Times New Roman" w:eastAsiaTheme="minorEastAsia"/>
                <w:kern w:val="0"/>
                <w:szCs w:val="24"/>
              </w:rPr>
            </w:pPr>
          </w:p>
        </w:tc>
        <w:tc>
          <w:tcPr>
            <w:tcW w:w="518" w:type="dxa"/>
            <w:vMerge w:val="continue"/>
            <w:vAlign w:val="center"/>
          </w:tcPr>
          <w:p>
            <w:pPr>
              <w:kinsoku w:val="0"/>
              <w:overflowPunct w:val="0"/>
              <w:autoSpaceDE w:val="0"/>
              <w:autoSpaceDN w:val="0"/>
              <w:adjustRightInd w:val="0"/>
              <w:spacing w:line="240" w:lineRule="atLeast"/>
              <w:ind w:left="235" w:right="125" w:firstLine="0" w:firstLineChars="0"/>
              <w:jc w:val="center"/>
              <w:rPr>
                <w:rFonts w:cs="Times New Roman" w:eastAsiaTheme="minorEastAsia"/>
                <w:kern w:val="0"/>
                <w:szCs w:val="24"/>
              </w:rPr>
            </w:pPr>
          </w:p>
        </w:tc>
        <w:tc>
          <w:tcPr>
            <w:tcW w:w="819" w:type="dxa"/>
            <w:vMerge w:val="continue"/>
            <w:vAlign w:val="center"/>
          </w:tcPr>
          <w:p>
            <w:pPr>
              <w:kinsoku w:val="0"/>
              <w:overflowPunct w:val="0"/>
              <w:autoSpaceDE w:val="0"/>
              <w:autoSpaceDN w:val="0"/>
              <w:adjustRightInd w:val="0"/>
              <w:spacing w:line="240" w:lineRule="atLeast"/>
              <w:ind w:left="235" w:right="125" w:firstLine="0" w:firstLineChars="0"/>
              <w:jc w:val="center"/>
              <w:rPr>
                <w:rFonts w:cs="Times New Roman" w:eastAsiaTheme="minorEastAsia"/>
                <w:kern w:val="0"/>
                <w:szCs w:val="24"/>
              </w:rPr>
            </w:pPr>
          </w:p>
        </w:tc>
        <w:tc>
          <w:tcPr>
            <w:tcW w:w="1126" w:type="dxa"/>
            <w:vMerge w:val="continue"/>
            <w:vAlign w:val="center"/>
          </w:tcPr>
          <w:p>
            <w:pPr>
              <w:kinsoku w:val="0"/>
              <w:overflowPunct w:val="0"/>
              <w:autoSpaceDE w:val="0"/>
              <w:autoSpaceDN w:val="0"/>
              <w:adjustRightInd w:val="0"/>
              <w:spacing w:line="240" w:lineRule="atLeast"/>
              <w:ind w:left="235" w:right="125" w:firstLine="0" w:firstLineChars="0"/>
              <w:jc w:val="center"/>
              <w:rPr>
                <w:rFonts w:cs="Times New Roman" w:eastAsiaTheme="minorEastAsia"/>
                <w:kern w:val="0"/>
                <w:szCs w:val="24"/>
              </w:rPr>
            </w:pPr>
          </w:p>
        </w:tc>
        <w:tc>
          <w:tcPr>
            <w:tcW w:w="653" w:type="dxa"/>
            <w:vAlign w:val="center"/>
          </w:tcPr>
          <w:p>
            <w:pPr>
              <w:kinsoku w:val="0"/>
              <w:overflowPunct w:val="0"/>
              <w:autoSpaceDE w:val="0"/>
              <w:autoSpaceDN w:val="0"/>
              <w:adjustRightInd w:val="0"/>
              <w:spacing w:line="240" w:lineRule="atLeast"/>
              <w:ind w:left="110" w:firstLine="0" w:firstLineChars="0"/>
              <w:jc w:val="center"/>
              <w:rPr>
                <w:rFonts w:cs="Times New Roman"/>
                <w:kern w:val="0"/>
                <w:sz w:val="21"/>
                <w:szCs w:val="21"/>
              </w:rPr>
            </w:pPr>
            <w:r>
              <w:rPr>
                <w:rFonts w:cs="Times New Roman"/>
                <w:kern w:val="0"/>
                <w:sz w:val="21"/>
                <w:szCs w:val="21"/>
              </w:rPr>
              <w:t>埋深</w:t>
            </w:r>
          </w:p>
          <w:p>
            <w:pPr>
              <w:kinsoku w:val="0"/>
              <w:overflowPunct w:val="0"/>
              <w:autoSpaceDE w:val="0"/>
              <w:autoSpaceDN w:val="0"/>
              <w:adjustRightInd w:val="0"/>
              <w:spacing w:line="240" w:lineRule="atLeast"/>
              <w:ind w:left="170" w:firstLine="0" w:firstLineChars="0"/>
              <w:jc w:val="center"/>
              <w:rPr>
                <w:rFonts w:cs="Times New Roman" w:eastAsiaTheme="minorEastAsia"/>
                <w:kern w:val="0"/>
                <w:szCs w:val="24"/>
              </w:rPr>
            </w:pPr>
            <w:r>
              <w:rPr>
                <w:rFonts w:cs="Times New Roman" w:eastAsiaTheme="minorEastAsia"/>
                <w:kern w:val="0"/>
                <w:sz w:val="21"/>
                <w:szCs w:val="21"/>
              </w:rPr>
              <w:t>(m)</w:t>
            </w:r>
          </w:p>
        </w:tc>
        <w:tc>
          <w:tcPr>
            <w:tcW w:w="655" w:type="dxa"/>
            <w:vAlign w:val="center"/>
          </w:tcPr>
          <w:p>
            <w:pPr>
              <w:kinsoku w:val="0"/>
              <w:overflowPunct w:val="0"/>
              <w:autoSpaceDE w:val="0"/>
              <w:autoSpaceDN w:val="0"/>
              <w:adjustRightInd w:val="0"/>
              <w:spacing w:line="240" w:lineRule="atLeast"/>
              <w:ind w:left="112" w:firstLine="0" w:firstLineChars="0"/>
              <w:jc w:val="center"/>
              <w:rPr>
                <w:rFonts w:cs="Times New Roman"/>
                <w:kern w:val="0"/>
                <w:sz w:val="21"/>
                <w:szCs w:val="21"/>
              </w:rPr>
            </w:pPr>
            <w:r>
              <w:rPr>
                <w:rFonts w:cs="Times New Roman"/>
                <w:kern w:val="0"/>
                <w:sz w:val="21"/>
                <w:szCs w:val="21"/>
              </w:rPr>
              <w:t>厚度</w:t>
            </w:r>
          </w:p>
          <w:p>
            <w:pPr>
              <w:kinsoku w:val="0"/>
              <w:overflowPunct w:val="0"/>
              <w:autoSpaceDE w:val="0"/>
              <w:autoSpaceDN w:val="0"/>
              <w:adjustRightInd w:val="0"/>
              <w:spacing w:line="240" w:lineRule="atLeast"/>
              <w:ind w:left="170" w:firstLine="0" w:firstLineChars="0"/>
              <w:jc w:val="center"/>
              <w:rPr>
                <w:rFonts w:cs="Times New Roman" w:eastAsiaTheme="minorEastAsia"/>
                <w:kern w:val="0"/>
                <w:szCs w:val="24"/>
              </w:rPr>
            </w:pPr>
            <w:r>
              <w:rPr>
                <w:rFonts w:cs="Times New Roman" w:eastAsiaTheme="minorEastAsia"/>
                <w:kern w:val="0"/>
                <w:sz w:val="21"/>
                <w:szCs w:val="21"/>
              </w:rPr>
              <w:t>(m)</w:t>
            </w:r>
          </w:p>
        </w:tc>
        <w:tc>
          <w:tcPr>
            <w:tcW w:w="807" w:type="dxa"/>
            <w:vMerge w:val="continue"/>
            <w:vAlign w:val="center"/>
          </w:tcPr>
          <w:p>
            <w:pPr>
              <w:kinsoku w:val="0"/>
              <w:overflowPunct w:val="0"/>
              <w:autoSpaceDE w:val="0"/>
              <w:autoSpaceDN w:val="0"/>
              <w:adjustRightInd w:val="0"/>
              <w:spacing w:line="240" w:lineRule="atLeast"/>
              <w:ind w:left="170" w:firstLine="0" w:firstLineChars="0"/>
              <w:jc w:val="center"/>
              <w:rPr>
                <w:rFonts w:cs="Times New Roman" w:eastAsiaTheme="minorEastAsia"/>
                <w:kern w:val="0"/>
                <w:szCs w:val="24"/>
              </w:rPr>
            </w:pPr>
          </w:p>
        </w:tc>
        <w:tc>
          <w:tcPr>
            <w:tcW w:w="847" w:type="dxa"/>
            <w:vMerge w:val="continue"/>
            <w:vAlign w:val="center"/>
          </w:tcPr>
          <w:p>
            <w:pPr>
              <w:kinsoku w:val="0"/>
              <w:overflowPunct w:val="0"/>
              <w:autoSpaceDE w:val="0"/>
              <w:autoSpaceDN w:val="0"/>
              <w:adjustRightInd w:val="0"/>
              <w:spacing w:line="240" w:lineRule="atLeast"/>
              <w:ind w:left="170" w:firstLine="0" w:firstLineChars="0"/>
              <w:jc w:val="center"/>
              <w:rPr>
                <w:rFonts w:cs="Times New Roman" w:eastAsiaTheme="minorEastAsia"/>
                <w:kern w:val="0"/>
                <w:szCs w:val="24"/>
              </w:rPr>
            </w:pPr>
          </w:p>
        </w:tc>
        <w:tc>
          <w:tcPr>
            <w:tcW w:w="638" w:type="dxa"/>
            <w:vMerge w:val="continue"/>
            <w:vAlign w:val="center"/>
          </w:tcPr>
          <w:p>
            <w:pPr>
              <w:kinsoku w:val="0"/>
              <w:overflowPunct w:val="0"/>
              <w:autoSpaceDE w:val="0"/>
              <w:autoSpaceDN w:val="0"/>
              <w:adjustRightInd w:val="0"/>
              <w:spacing w:line="240" w:lineRule="atLeast"/>
              <w:ind w:left="170" w:firstLine="0" w:firstLineChars="0"/>
              <w:jc w:val="center"/>
              <w:rPr>
                <w:rFonts w:cs="Times New Roman" w:eastAsiaTheme="minorEastAsia"/>
                <w:kern w:val="0"/>
                <w:szCs w:val="24"/>
              </w:rPr>
            </w:pPr>
          </w:p>
        </w:tc>
        <w:tc>
          <w:tcPr>
            <w:tcW w:w="922" w:type="dxa"/>
            <w:vAlign w:val="center"/>
          </w:tcPr>
          <w:p>
            <w:pPr>
              <w:kinsoku w:val="0"/>
              <w:overflowPunct w:val="0"/>
              <w:autoSpaceDE w:val="0"/>
              <w:autoSpaceDN w:val="0"/>
              <w:adjustRightInd w:val="0"/>
              <w:spacing w:line="240" w:lineRule="atLeast"/>
              <w:ind w:left="244" w:firstLine="0" w:firstLineChars="0"/>
              <w:jc w:val="center"/>
              <w:rPr>
                <w:rFonts w:cs="Times New Roman" w:eastAsiaTheme="minorEastAsia"/>
                <w:kern w:val="0"/>
                <w:szCs w:val="24"/>
              </w:rPr>
            </w:pPr>
            <w:r>
              <w:rPr>
                <w:rFonts w:cs="Times New Roman"/>
                <w:kern w:val="0"/>
                <w:sz w:val="21"/>
                <w:szCs w:val="21"/>
              </w:rPr>
              <w:t>东经</w:t>
            </w:r>
          </w:p>
        </w:tc>
        <w:tc>
          <w:tcPr>
            <w:tcW w:w="826" w:type="dxa"/>
            <w:vAlign w:val="center"/>
          </w:tcPr>
          <w:p>
            <w:pPr>
              <w:kinsoku w:val="0"/>
              <w:overflowPunct w:val="0"/>
              <w:autoSpaceDE w:val="0"/>
              <w:autoSpaceDN w:val="0"/>
              <w:adjustRightInd w:val="0"/>
              <w:spacing w:line="240" w:lineRule="atLeast"/>
              <w:ind w:left="196" w:firstLine="0" w:firstLineChars="0"/>
              <w:jc w:val="center"/>
              <w:rPr>
                <w:rFonts w:cs="Times New Roman" w:eastAsiaTheme="minorEastAsia"/>
                <w:kern w:val="0"/>
                <w:szCs w:val="24"/>
              </w:rPr>
            </w:pPr>
            <w:r>
              <w:rPr>
                <w:rFonts w:cs="Times New Roman"/>
                <w:kern w:val="0"/>
                <w:sz w:val="21"/>
                <w:szCs w:val="21"/>
              </w:rPr>
              <w:t>北纬</w:t>
            </w:r>
          </w:p>
        </w:tc>
        <w:tc>
          <w:tcPr>
            <w:tcW w:w="996" w:type="dxa"/>
            <w:vMerge w:val="continue"/>
            <w:vAlign w:val="center"/>
          </w:tcPr>
          <w:p>
            <w:pPr>
              <w:kinsoku w:val="0"/>
              <w:overflowPunct w:val="0"/>
              <w:autoSpaceDE w:val="0"/>
              <w:autoSpaceDN w:val="0"/>
              <w:adjustRightInd w:val="0"/>
              <w:spacing w:line="240" w:lineRule="atLeast"/>
              <w:ind w:left="196" w:firstLine="0" w:firstLineChars="0"/>
              <w:jc w:val="center"/>
              <w:rPr>
                <w:rFonts w:cs="Times New Roman" w:eastAsiaTheme="minorEastAsia"/>
                <w:kern w:val="0"/>
                <w:szCs w:val="24"/>
              </w:rPr>
            </w:pPr>
          </w:p>
        </w:tc>
        <w:tc>
          <w:tcPr>
            <w:tcW w:w="914" w:type="dxa"/>
            <w:vMerge w:val="continue"/>
            <w:vAlign w:val="center"/>
          </w:tcPr>
          <w:p>
            <w:pPr>
              <w:kinsoku w:val="0"/>
              <w:overflowPunct w:val="0"/>
              <w:autoSpaceDE w:val="0"/>
              <w:autoSpaceDN w:val="0"/>
              <w:adjustRightInd w:val="0"/>
              <w:spacing w:line="240" w:lineRule="atLeast"/>
              <w:ind w:left="196" w:firstLine="0" w:firstLineChars="0"/>
              <w:jc w:val="center"/>
              <w:rPr>
                <w:rFonts w:cs="Times New Roman" w:eastAsiaTheme="minorEastAsia"/>
                <w:kern w:val="0"/>
                <w:szCs w:val="24"/>
              </w:rPr>
            </w:pPr>
          </w:p>
        </w:tc>
        <w:tc>
          <w:tcPr>
            <w:tcW w:w="900" w:type="dxa"/>
            <w:vMerge w:val="continue"/>
            <w:vAlign w:val="center"/>
          </w:tcPr>
          <w:p>
            <w:pPr>
              <w:kinsoku w:val="0"/>
              <w:overflowPunct w:val="0"/>
              <w:autoSpaceDE w:val="0"/>
              <w:autoSpaceDN w:val="0"/>
              <w:adjustRightInd w:val="0"/>
              <w:spacing w:line="240" w:lineRule="atLeast"/>
              <w:ind w:left="196" w:firstLine="0" w:firstLineChars="0"/>
              <w:jc w:val="center"/>
              <w:rPr>
                <w:rFonts w:cs="Times New Roman" w:eastAsiaTheme="minorEastAsia"/>
                <w:kern w:val="0"/>
                <w:szCs w:val="24"/>
              </w:rPr>
            </w:pPr>
          </w:p>
        </w:tc>
        <w:tc>
          <w:tcPr>
            <w:tcW w:w="901" w:type="dxa"/>
            <w:vMerge w:val="continue"/>
            <w:vAlign w:val="center"/>
          </w:tcPr>
          <w:p>
            <w:pPr>
              <w:kinsoku w:val="0"/>
              <w:overflowPunct w:val="0"/>
              <w:autoSpaceDE w:val="0"/>
              <w:autoSpaceDN w:val="0"/>
              <w:adjustRightInd w:val="0"/>
              <w:spacing w:line="240" w:lineRule="atLeast"/>
              <w:ind w:left="196" w:firstLine="0" w:firstLineChars="0"/>
              <w:jc w:val="center"/>
              <w:rPr>
                <w:rFonts w:cs="Times New Roman" w:eastAsiaTheme="minorEastAsia"/>
                <w:kern w:val="0"/>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5" w:hRule="atLeast"/>
        </w:trPr>
        <w:tc>
          <w:tcPr>
            <w:tcW w:w="1560"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义门镇集中</w:t>
            </w:r>
          </w:p>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供水水源</w:t>
            </w:r>
          </w:p>
        </w:tc>
        <w:tc>
          <w:tcPr>
            <w:tcW w:w="1467" w:type="dxa"/>
            <w:vAlign w:val="center"/>
          </w:tcPr>
          <w:p>
            <w:pPr>
              <w:kinsoku w:val="0"/>
              <w:overflowPunct w:val="0"/>
              <w:autoSpaceDE w:val="0"/>
              <w:autoSpaceDN w:val="0"/>
              <w:adjustRightInd w:val="0"/>
              <w:spacing w:line="240" w:lineRule="atLeast"/>
              <w:ind w:left="136" w:right="108" w:firstLine="0" w:firstLineChars="0"/>
              <w:jc w:val="center"/>
              <w:rPr>
                <w:rFonts w:cs="Times New Roman"/>
                <w:kern w:val="0"/>
                <w:sz w:val="21"/>
                <w:szCs w:val="21"/>
              </w:rPr>
            </w:pPr>
            <w:r>
              <w:rPr>
                <w:rFonts w:cs="Times New Roman"/>
                <w:kern w:val="0"/>
                <w:sz w:val="21"/>
                <w:szCs w:val="21"/>
              </w:rPr>
              <w:t>DA0000140 931101G01</w:t>
            </w:r>
          </w:p>
        </w:tc>
        <w:tc>
          <w:tcPr>
            <w:tcW w:w="518" w:type="dxa"/>
            <w:vAlign w:val="center"/>
          </w:tcPr>
          <w:p>
            <w:pPr>
              <w:kinsoku w:val="0"/>
              <w:overflowPunct w:val="0"/>
              <w:autoSpaceDE w:val="0"/>
              <w:autoSpaceDN w:val="0"/>
              <w:adjustRightInd w:val="0"/>
              <w:spacing w:line="240" w:lineRule="atLeast"/>
              <w:ind w:right="5" w:firstLine="0" w:firstLineChars="0"/>
              <w:jc w:val="center"/>
              <w:rPr>
                <w:rFonts w:cs="Times New Roman"/>
                <w:kern w:val="0"/>
                <w:sz w:val="21"/>
                <w:szCs w:val="21"/>
              </w:rPr>
            </w:pPr>
            <w:r>
              <w:rPr>
                <w:rFonts w:cs="Times New Roman"/>
                <w:kern w:val="0"/>
                <w:sz w:val="21"/>
                <w:szCs w:val="21"/>
              </w:rPr>
              <w:t>1#</w:t>
            </w:r>
          </w:p>
        </w:tc>
        <w:tc>
          <w:tcPr>
            <w:tcW w:w="819" w:type="dxa"/>
            <w:vAlign w:val="center"/>
          </w:tcPr>
          <w:p>
            <w:pPr>
              <w:kinsoku w:val="0"/>
              <w:overflowPunct w:val="0"/>
              <w:autoSpaceDE w:val="0"/>
              <w:autoSpaceDN w:val="0"/>
              <w:adjustRightInd w:val="0"/>
              <w:spacing w:line="240" w:lineRule="atLeast"/>
              <w:ind w:left="170" w:firstLine="0" w:firstLineChars="0"/>
              <w:jc w:val="center"/>
              <w:rPr>
                <w:rFonts w:cs="Times New Roman"/>
                <w:kern w:val="0"/>
                <w:sz w:val="21"/>
                <w:szCs w:val="21"/>
              </w:rPr>
            </w:pPr>
            <w:r>
              <w:rPr>
                <w:rFonts w:cs="Times New Roman"/>
                <w:kern w:val="0"/>
                <w:sz w:val="21"/>
                <w:szCs w:val="21"/>
              </w:rPr>
              <w:t>219</w:t>
            </w:r>
          </w:p>
        </w:tc>
        <w:tc>
          <w:tcPr>
            <w:tcW w:w="1126"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岩溶裂隙</w:t>
            </w:r>
          </w:p>
          <w:p>
            <w:pPr>
              <w:kinsoku w:val="0"/>
              <w:overflowPunct w:val="0"/>
              <w:autoSpaceDE w:val="0"/>
              <w:autoSpaceDN w:val="0"/>
              <w:adjustRightInd w:val="0"/>
              <w:spacing w:line="240" w:lineRule="atLeast"/>
              <w:ind w:left="2" w:firstLine="0" w:firstLineChars="0"/>
              <w:jc w:val="center"/>
              <w:rPr>
                <w:rFonts w:cs="Times New Roman"/>
                <w:kern w:val="0"/>
                <w:sz w:val="21"/>
                <w:szCs w:val="21"/>
              </w:rPr>
            </w:pPr>
            <w:r>
              <w:rPr>
                <w:rFonts w:cs="Times New Roman"/>
                <w:kern w:val="0"/>
                <w:sz w:val="21"/>
                <w:szCs w:val="21"/>
              </w:rPr>
              <w:t>承压水</w:t>
            </w:r>
          </w:p>
        </w:tc>
        <w:tc>
          <w:tcPr>
            <w:tcW w:w="653"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89</w:t>
            </w:r>
          </w:p>
        </w:tc>
        <w:tc>
          <w:tcPr>
            <w:tcW w:w="655" w:type="dxa"/>
            <w:vAlign w:val="center"/>
          </w:tcPr>
          <w:p>
            <w:pPr>
              <w:kinsoku w:val="0"/>
              <w:overflowPunct w:val="0"/>
              <w:autoSpaceDE w:val="0"/>
              <w:autoSpaceDN w:val="0"/>
              <w:adjustRightInd w:val="0"/>
              <w:spacing w:line="240" w:lineRule="atLeast"/>
              <w:ind w:left="165" w:firstLine="0" w:firstLineChars="0"/>
              <w:jc w:val="center"/>
              <w:rPr>
                <w:rFonts w:cs="Times New Roman"/>
                <w:kern w:val="0"/>
                <w:sz w:val="21"/>
                <w:szCs w:val="21"/>
              </w:rPr>
            </w:pPr>
            <w:r>
              <w:rPr>
                <w:rFonts w:cs="Times New Roman"/>
                <w:kern w:val="0"/>
                <w:sz w:val="21"/>
                <w:szCs w:val="21"/>
              </w:rPr>
              <w:t>100</w:t>
            </w:r>
          </w:p>
        </w:tc>
        <w:tc>
          <w:tcPr>
            <w:tcW w:w="807" w:type="dxa"/>
            <w:vAlign w:val="center"/>
          </w:tcPr>
          <w:p>
            <w:pPr>
              <w:kinsoku w:val="0"/>
              <w:overflowPunct w:val="0"/>
              <w:autoSpaceDE w:val="0"/>
              <w:autoSpaceDN w:val="0"/>
              <w:adjustRightInd w:val="0"/>
              <w:spacing w:line="240" w:lineRule="atLeast"/>
              <w:ind w:left="160" w:firstLine="0" w:firstLineChars="0"/>
              <w:jc w:val="center"/>
              <w:rPr>
                <w:rFonts w:cs="Times New Roman"/>
                <w:kern w:val="0"/>
                <w:sz w:val="21"/>
                <w:szCs w:val="21"/>
              </w:rPr>
            </w:pPr>
            <w:r>
              <w:rPr>
                <w:rFonts w:cs="Times New Roman"/>
                <w:kern w:val="0"/>
                <w:sz w:val="21"/>
                <w:szCs w:val="21"/>
              </w:rPr>
              <w:t>847.7</w:t>
            </w:r>
          </w:p>
        </w:tc>
        <w:tc>
          <w:tcPr>
            <w:tcW w:w="847" w:type="dxa"/>
            <w:vAlign w:val="center"/>
          </w:tcPr>
          <w:p>
            <w:pPr>
              <w:kinsoku w:val="0"/>
              <w:overflowPunct w:val="0"/>
              <w:autoSpaceDE w:val="0"/>
              <w:autoSpaceDN w:val="0"/>
              <w:adjustRightInd w:val="0"/>
              <w:spacing w:line="240" w:lineRule="atLeast"/>
              <w:ind w:left="2" w:firstLine="0" w:firstLineChars="0"/>
              <w:jc w:val="center"/>
              <w:rPr>
                <w:rFonts w:cs="Times New Roman"/>
                <w:kern w:val="0"/>
                <w:sz w:val="21"/>
                <w:szCs w:val="21"/>
              </w:rPr>
            </w:pPr>
            <w:r>
              <w:rPr>
                <w:rFonts w:cs="Times New Roman"/>
                <w:kern w:val="0"/>
                <w:sz w:val="21"/>
                <w:szCs w:val="21"/>
              </w:rPr>
              <w:t>18</w:t>
            </w:r>
          </w:p>
        </w:tc>
        <w:tc>
          <w:tcPr>
            <w:tcW w:w="638" w:type="dxa"/>
            <w:vAlign w:val="center"/>
          </w:tcPr>
          <w:p>
            <w:pPr>
              <w:kinsoku w:val="0"/>
              <w:overflowPunct w:val="0"/>
              <w:autoSpaceDE w:val="0"/>
              <w:autoSpaceDN w:val="0"/>
              <w:adjustRightInd w:val="0"/>
              <w:spacing w:line="240" w:lineRule="atLeast"/>
              <w:ind w:left="208" w:firstLine="0" w:firstLineChars="0"/>
              <w:jc w:val="center"/>
              <w:rPr>
                <w:rFonts w:cs="Times New Roman"/>
                <w:kern w:val="0"/>
                <w:sz w:val="21"/>
                <w:szCs w:val="21"/>
              </w:rPr>
            </w:pPr>
            <w:r>
              <w:rPr>
                <w:rFonts w:cs="Times New Roman"/>
                <w:kern w:val="0"/>
                <w:sz w:val="21"/>
                <w:szCs w:val="21"/>
              </w:rPr>
              <w:t>13</w:t>
            </w:r>
          </w:p>
        </w:tc>
        <w:tc>
          <w:tcPr>
            <w:tcW w:w="922" w:type="dxa"/>
            <w:vAlign w:val="center"/>
          </w:tcPr>
          <w:p>
            <w:pPr>
              <w:kinsoku w:val="0"/>
              <w:overflowPunct w:val="0"/>
              <w:autoSpaceDE w:val="0"/>
              <w:autoSpaceDN w:val="0"/>
              <w:adjustRightInd w:val="0"/>
              <w:spacing w:line="240" w:lineRule="atLeast"/>
              <w:ind w:left="136" w:firstLine="0" w:firstLineChars="0"/>
              <w:jc w:val="center"/>
              <w:rPr>
                <w:rFonts w:cs="Times New Roman"/>
                <w:kern w:val="0"/>
                <w:sz w:val="21"/>
                <w:szCs w:val="21"/>
              </w:rPr>
            </w:pPr>
            <w:r>
              <w:rPr>
                <w:rFonts w:cs="Times New Roman"/>
                <w:kern w:val="0"/>
                <w:sz w:val="21"/>
                <w:szCs w:val="21"/>
              </w:rPr>
              <w:t>111°08′</w:t>
            </w:r>
          </w:p>
          <w:p>
            <w:pPr>
              <w:kinsoku w:val="0"/>
              <w:overflowPunct w:val="0"/>
              <w:autoSpaceDE w:val="0"/>
              <w:autoSpaceDN w:val="0"/>
              <w:adjustRightInd w:val="0"/>
              <w:spacing w:line="240" w:lineRule="atLeast"/>
              <w:ind w:left="228" w:firstLine="0" w:firstLineChars="0"/>
              <w:jc w:val="center"/>
              <w:rPr>
                <w:rFonts w:cs="Times New Roman"/>
                <w:kern w:val="0"/>
                <w:sz w:val="21"/>
                <w:szCs w:val="21"/>
              </w:rPr>
            </w:pPr>
            <w:r>
              <w:rPr>
                <w:rFonts w:cs="Times New Roman"/>
                <w:kern w:val="0"/>
                <w:sz w:val="21"/>
                <w:szCs w:val="21"/>
              </w:rPr>
              <w:t>27.2″</w:t>
            </w:r>
          </w:p>
        </w:tc>
        <w:tc>
          <w:tcPr>
            <w:tcW w:w="826" w:type="dxa"/>
            <w:vAlign w:val="center"/>
          </w:tcPr>
          <w:p>
            <w:pPr>
              <w:kinsoku w:val="0"/>
              <w:overflowPunct w:val="0"/>
              <w:autoSpaceDE w:val="0"/>
              <w:autoSpaceDN w:val="0"/>
              <w:adjustRightInd w:val="0"/>
              <w:spacing w:line="240" w:lineRule="atLeast"/>
              <w:ind w:left="132" w:firstLine="0" w:firstLineChars="0"/>
              <w:jc w:val="center"/>
              <w:rPr>
                <w:rFonts w:cs="Times New Roman"/>
                <w:kern w:val="0"/>
                <w:sz w:val="21"/>
                <w:szCs w:val="21"/>
              </w:rPr>
            </w:pPr>
            <w:r>
              <w:rPr>
                <w:rFonts w:cs="Times New Roman"/>
                <w:kern w:val="0"/>
                <w:sz w:val="21"/>
                <w:szCs w:val="21"/>
              </w:rPr>
              <w:t>39°04′</w:t>
            </w:r>
          </w:p>
          <w:p>
            <w:pPr>
              <w:kinsoku w:val="0"/>
              <w:overflowPunct w:val="0"/>
              <w:autoSpaceDE w:val="0"/>
              <w:autoSpaceDN w:val="0"/>
              <w:adjustRightInd w:val="0"/>
              <w:spacing w:line="240" w:lineRule="atLeast"/>
              <w:ind w:left="184" w:firstLine="0" w:firstLineChars="0"/>
              <w:jc w:val="center"/>
              <w:rPr>
                <w:rFonts w:cs="Times New Roman"/>
                <w:kern w:val="0"/>
                <w:sz w:val="21"/>
                <w:szCs w:val="21"/>
              </w:rPr>
            </w:pPr>
            <w:r>
              <w:rPr>
                <w:rFonts w:cs="Times New Roman"/>
                <w:kern w:val="0"/>
                <w:sz w:val="21"/>
                <w:szCs w:val="21"/>
              </w:rPr>
              <w:t>11.5″</w:t>
            </w:r>
          </w:p>
        </w:tc>
        <w:tc>
          <w:tcPr>
            <w:tcW w:w="996"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一级</w:t>
            </w:r>
          </w:p>
        </w:tc>
        <w:tc>
          <w:tcPr>
            <w:tcW w:w="914"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60</w:t>
            </w:r>
          </w:p>
        </w:tc>
        <w:tc>
          <w:tcPr>
            <w:tcW w:w="900" w:type="dxa"/>
            <w:vAlign w:val="center"/>
          </w:tcPr>
          <w:p>
            <w:pPr>
              <w:kinsoku w:val="0"/>
              <w:overflowPunct w:val="0"/>
              <w:autoSpaceDE w:val="0"/>
              <w:autoSpaceDN w:val="0"/>
              <w:adjustRightInd w:val="0"/>
              <w:spacing w:line="240" w:lineRule="atLeast"/>
              <w:ind w:left="10" w:leftChars="4" w:firstLine="0" w:firstLineChars="0"/>
              <w:jc w:val="center"/>
              <w:rPr>
                <w:rFonts w:cs="Times New Roman"/>
                <w:kern w:val="0"/>
                <w:sz w:val="21"/>
                <w:szCs w:val="21"/>
              </w:rPr>
            </w:pPr>
            <w:r>
              <w:rPr>
                <w:rFonts w:cs="Times New Roman"/>
                <w:kern w:val="0"/>
                <w:sz w:val="21"/>
                <w:szCs w:val="21"/>
              </w:rPr>
              <w:t>0.011</w:t>
            </w:r>
          </w:p>
        </w:tc>
        <w:tc>
          <w:tcPr>
            <w:tcW w:w="901"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0.377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560"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腰庄乡集中</w:t>
            </w:r>
          </w:p>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供水水源</w:t>
            </w:r>
          </w:p>
        </w:tc>
        <w:tc>
          <w:tcPr>
            <w:tcW w:w="1467" w:type="dxa"/>
            <w:vAlign w:val="center"/>
          </w:tcPr>
          <w:p>
            <w:pPr>
              <w:kinsoku w:val="0"/>
              <w:overflowPunct w:val="0"/>
              <w:autoSpaceDE w:val="0"/>
              <w:autoSpaceDN w:val="0"/>
              <w:adjustRightInd w:val="0"/>
              <w:spacing w:line="240" w:lineRule="atLeast"/>
              <w:ind w:left="134" w:right="108" w:firstLine="0" w:firstLineChars="0"/>
              <w:jc w:val="center"/>
              <w:rPr>
                <w:rFonts w:cs="Times New Roman"/>
                <w:kern w:val="0"/>
                <w:sz w:val="21"/>
                <w:szCs w:val="21"/>
              </w:rPr>
            </w:pPr>
            <w:r>
              <w:rPr>
                <w:rFonts w:cs="Times New Roman"/>
                <w:kern w:val="0"/>
                <w:sz w:val="21"/>
                <w:szCs w:val="21"/>
              </w:rPr>
              <w:t>DA0000140 931200G02</w:t>
            </w:r>
          </w:p>
        </w:tc>
        <w:tc>
          <w:tcPr>
            <w:tcW w:w="518" w:type="dxa"/>
            <w:vAlign w:val="center"/>
          </w:tcPr>
          <w:p>
            <w:pPr>
              <w:kinsoku w:val="0"/>
              <w:overflowPunct w:val="0"/>
              <w:autoSpaceDE w:val="0"/>
              <w:autoSpaceDN w:val="0"/>
              <w:adjustRightInd w:val="0"/>
              <w:spacing w:line="240" w:lineRule="atLeast"/>
              <w:ind w:right="5" w:firstLine="0" w:firstLineChars="0"/>
              <w:jc w:val="center"/>
              <w:rPr>
                <w:rFonts w:cs="Times New Roman"/>
                <w:kern w:val="0"/>
                <w:sz w:val="21"/>
                <w:szCs w:val="21"/>
              </w:rPr>
            </w:pPr>
            <w:r>
              <w:rPr>
                <w:rFonts w:cs="Times New Roman"/>
                <w:kern w:val="0"/>
                <w:sz w:val="21"/>
                <w:szCs w:val="21"/>
              </w:rPr>
              <w:t>1#</w:t>
            </w:r>
          </w:p>
        </w:tc>
        <w:tc>
          <w:tcPr>
            <w:tcW w:w="819" w:type="dxa"/>
            <w:vAlign w:val="center"/>
          </w:tcPr>
          <w:p>
            <w:pPr>
              <w:kinsoku w:val="0"/>
              <w:overflowPunct w:val="0"/>
              <w:autoSpaceDE w:val="0"/>
              <w:autoSpaceDN w:val="0"/>
              <w:adjustRightInd w:val="0"/>
              <w:spacing w:line="240" w:lineRule="atLeast"/>
              <w:ind w:left="170" w:firstLine="0" w:firstLineChars="0"/>
              <w:jc w:val="center"/>
              <w:rPr>
                <w:rFonts w:cs="Times New Roman"/>
                <w:kern w:val="0"/>
                <w:sz w:val="21"/>
                <w:szCs w:val="21"/>
              </w:rPr>
            </w:pPr>
            <w:r>
              <w:rPr>
                <w:rFonts w:cs="Times New Roman"/>
                <w:kern w:val="0"/>
                <w:sz w:val="21"/>
                <w:szCs w:val="21"/>
              </w:rPr>
              <w:t>422</w:t>
            </w:r>
          </w:p>
        </w:tc>
        <w:tc>
          <w:tcPr>
            <w:tcW w:w="1126"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岩溶裂隙</w:t>
            </w:r>
          </w:p>
          <w:p>
            <w:pPr>
              <w:kinsoku w:val="0"/>
              <w:overflowPunct w:val="0"/>
              <w:autoSpaceDE w:val="0"/>
              <w:autoSpaceDN w:val="0"/>
              <w:adjustRightInd w:val="0"/>
              <w:spacing w:line="240" w:lineRule="atLeast"/>
              <w:ind w:left="2" w:firstLine="0" w:firstLineChars="0"/>
              <w:jc w:val="center"/>
              <w:rPr>
                <w:rFonts w:cs="Times New Roman"/>
                <w:kern w:val="0"/>
                <w:sz w:val="21"/>
                <w:szCs w:val="21"/>
              </w:rPr>
            </w:pPr>
            <w:r>
              <w:rPr>
                <w:rFonts w:cs="Times New Roman"/>
                <w:kern w:val="0"/>
                <w:sz w:val="21"/>
                <w:szCs w:val="21"/>
              </w:rPr>
              <w:t>承压水</w:t>
            </w:r>
          </w:p>
        </w:tc>
        <w:tc>
          <w:tcPr>
            <w:tcW w:w="653" w:type="dxa"/>
            <w:vAlign w:val="center"/>
          </w:tcPr>
          <w:p>
            <w:pPr>
              <w:kinsoku w:val="0"/>
              <w:overflowPunct w:val="0"/>
              <w:autoSpaceDE w:val="0"/>
              <w:autoSpaceDN w:val="0"/>
              <w:adjustRightInd w:val="0"/>
              <w:spacing w:line="240" w:lineRule="atLeast"/>
              <w:ind w:left="163" w:firstLine="0" w:firstLineChars="0"/>
              <w:jc w:val="center"/>
              <w:rPr>
                <w:rFonts w:cs="Times New Roman"/>
                <w:kern w:val="0"/>
                <w:sz w:val="21"/>
                <w:szCs w:val="21"/>
              </w:rPr>
            </w:pPr>
            <w:r>
              <w:rPr>
                <w:rFonts w:cs="Times New Roman"/>
                <w:kern w:val="0"/>
                <w:sz w:val="21"/>
                <w:szCs w:val="21"/>
              </w:rPr>
              <w:t>282</w:t>
            </w:r>
          </w:p>
        </w:tc>
        <w:tc>
          <w:tcPr>
            <w:tcW w:w="655" w:type="dxa"/>
            <w:vAlign w:val="center"/>
          </w:tcPr>
          <w:p>
            <w:pPr>
              <w:kinsoku w:val="0"/>
              <w:overflowPunct w:val="0"/>
              <w:autoSpaceDE w:val="0"/>
              <w:autoSpaceDN w:val="0"/>
              <w:adjustRightInd w:val="0"/>
              <w:spacing w:line="240" w:lineRule="atLeast"/>
              <w:ind w:left="165" w:firstLine="0" w:firstLineChars="0"/>
              <w:jc w:val="center"/>
              <w:rPr>
                <w:rFonts w:cs="Times New Roman"/>
                <w:kern w:val="0"/>
                <w:sz w:val="21"/>
                <w:szCs w:val="21"/>
              </w:rPr>
            </w:pPr>
            <w:r>
              <w:rPr>
                <w:rFonts w:cs="Times New Roman"/>
                <w:kern w:val="0"/>
                <w:sz w:val="21"/>
                <w:szCs w:val="21"/>
              </w:rPr>
              <w:t>100</w:t>
            </w:r>
          </w:p>
        </w:tc>
        <w:tc>
          <w:tcPr>
            <w:tcW w:w="807" w:type="dxa"/>
            <w:vAlign w:val="center"/>
          </w:tcPr>
          <w:p>
            <w:pPr>
              <w:kinsoku w:val="0"/>
              <w:overflowPunct w:val="0"/>
              <w:autoSpaceDE w:val="0"/>
              <w:autoSpaceDN w:val="0"/>
              <w:adjustRightInd w:val="0"/>
              <w:spacing w:line="240" w:lineRule="atLeast"/>
              <w:ind w:left="160" w:firstLine="0" w:firstLineChars="0"/>
              <w:jc w:val="center"/>
              <w:rPr>
                <w:rFonts w:cs="Times New Roman"/>
                <w:kern w:val="0"/>
                <w:sz w:val="21"/>
                <w:szCs w:val="21"/>
              </w:rPr>
            </w:pPr>
            <w:r>
              <w:rPr>
                <w:rFonts w:cs="Times New Roman"/>
                <w:kern w:val="0"/>
                <w:sz w:val="21"/>
                <w:szCs w:val="21"/>
              </w:rPr>
              <w:t>932.6</w:t>
            </w:r>
          </w:p>
        </w:tc>
        <w:tc>
          <w:tcPr>
            <w:tcW w:w="847" w:type="dxa"/>
            <w:vAlign w:val="center"/>
          </w:tcPr>
          <w:p>
            <w:pPr>
              <w:kinsoku w:val="0"/>
              <w:overflowPunct w:val="0"/>
              <w:autoSpaceDE w:val="0"/>
              <w:autoSpaceDN w:val="0"/>
              <w:adjustRightInd w:val="0"/>
              <w:spacing w:line="240" w:lineRule="atLeast"/>
              <w:ind w:left="261" w:firstLine="0" w:firstLineChars="0"/>
              <w:jc w:val="center"/>
              <w:rPr>
                <w:rFonts w:cs="Times New Roman"/>
                <w:kern w:val="0"/>
                <w:sz w:val="21"/>
                <w:szCs w:val="21"/>
              </w:rPr>
            </w:pPr>
            <w:r>
              <w:rPr>
                <w:rFonts w:cs="Times New Roman"/>
                <w:kern w:val="0"/>
                <w:sz w:val="21"/>
                <w:szCs w:val="21"/>
              </w:rPr>
              <w:t>101</w:t>
            </w:r>
          </w:p>
        </w:tc>
        <w:tc>
          <w:tcPr>
            <w:tcW w:w="638" w:type="dxa"/>
            <w:vAlign w:val="center"/>
          </w:tcPr>
          <w:p>
            <w:pPr>
              <w:kinsoku w:val="0"/>
              <w:overflowPunct w:val="0"/>
              <w:autoSpaceDE w:val="0"/>
              <w:autoSpaceDN w:val="0"/>
              <w:adjustRightInd w:val="0"/>
              <w:spacing w:line="240" w:lineRule="atLeast"/>
              <w:ind w:left="208" w:firstLine="0" w:firstLineChars="0"/>
              <w:jc w:val="center"/>
              <w:rPr>
                <w:rFonts w:cs="Times New Roman"/>
                <w:kern w:val="0"/>
                <w:sz w:val="21"/>
                <w:szCs w:val="21"/>
              </w:rPr>
            </w:pPr>
            <w:r>
              <w:rPr>
                <w:rFonts w:cs="Times New Roman"/>
                <w:kern w:val="0"/>
                <w:sz w:val="21"/>
                <w:szCs w:val="21"/>
              </w:rPr>
              <w:t>14</w:t>
            </w:r>
          </w:p>
        </w:tc>
        <w:tc>
          <w:tcPr>
            <w:tcW w:w="922" w:type="dxa"/>
            <w:vAlign w:val="center"/>
          </w:tcPr>
          <w:p>
            <w:pPr>
              <w:kinsoku w:val="0"/>
              <w:overflowPunct w:val="0"/>
              <w:autoSpaceDE w:val="0"/>
              <w:autoSpaceDN w:val="0"/>
              <w:adjustRightInd w:val="0"/>
              <w:spacing w:line="240" w:lineRule="atLeast"/>
              <w:ind w:left="136" w:firstLine="0" w:firstLineChars="0"/>
              <w:jc w:val="center"/>
              <w:rPr>
                <w:rFonts w:cs="Times New Roman"/>
                <w:kern w:val="0"/>
                <w:sz w:val="21"/>
                <w:szCs w:val="21"/>
              </w:rPr>
            </w:pPr>
            <w:r>
              <w:rPr>
                <w:rFonts w:cs="Times New Roman"/>
                <w:kern w:val="0"/>
                <w:sz w:val="21"/>
                <w:szCs w:val="21"/>
              </w:rPr>
              <w:t>111°08′</w:t>
            </w:r>
          </w:p>
          <w:p>
            <w:pPr>
              <w:kinsoku w:val="0"/>
              <w:overflowPunct w:val="0"/>
              <w:autoSpaceDE w:val="0"/>
              <w:autoSpaceDN w:val="0"/>
              <w:adjustRightInd w:val="0"/>
              <w:spacing w:line="240" w:lineRule="atLeast"/>
              <w:ind w:left="228" w:firstLine="0" w:firstLineChars="0"/>
              <w:jc w:val="center"/>
              <w:rPr>
                <w:rFonts w:cs="Times New Roman"/>
                <w:kern w:val="0"/>
                <w:sz w:val="21"/>
                <w:szCs w:val="21"/>
              </w:rPr>
            </w:pPr>
            <w:r>
              <w:rPr>
                <w:rFonts w:cs="Times New Roman"/>
                <w:kern w:val="0"/>
                <w:sz w:val="21"/>
                <w:szCs w:val="21"/>
              </w:rPr>
              <w:t>28.2″</w:t>
            </w:r>
          </w:p>
        </w:tc>
        <w:tc>
          <w:tcPr>
            <w:tcW w:w="826" w:type="dxa"/>
            <w:vAlign w:val="center"/>
          </w:tcPr>
          <w:p>
            <w:pPr>
              <w:kinsoku w:val="0"/>
              <w:overflowPunct w:val="0"/>
              <w:autoSpaceDE w:val="0"/>
              <w:autoSpaceDN w:val="0"/>
              <w:adjustRightInd w:val="0"/>
              <w:spacing w:line="240" w:lineRule="atLeast"/>
              <w:ind w:left="132" w:firstLine="0" w:firstLineChars="0"/>
              <w:jc w:val="center"/>
              <w:rPr>
                <w:rFonts w:cs="Times New Roman"/>
                <w:kern w:val="0"/>
                <w:sz w:val="21"/>
                <w:szCs w:val="21"/>
              </w:rPr>
            </w:pPr>
            <w:r>
              <w:rPr>
                <w:rFonts w:cs="Times New Roman"/>
                <w:kern w:val="0"/>
                <w:sz w:val="21"/>
                <w:szCs w:val="21"/>
              </w:rPr>
              <w:t>39°01′</w:t>
            </w:r>
          </w:p>
          <w:p>
            <w:pPr>
              <w:kinsoku w:val="0"/>
              <w:overflowPunct w:val="0"/>
              <w:autoSpaceDE w:val="0"/>
              <w:autoSpaceDN w:val="0"/>
              <w:adjustRightInd w:val="0"/>
              <w:spacing w:line="240" w:lineRule="atLeast"/>
              <w:ind w:left="180" w:firstLine="0" w:firstLineChars="0"/>
              <w:jc w:val="center"/>
              <w:rPr>
                <w:rFonts w:cs="Times New Roman"/>
                <w:kern w:val="0"/>
                <w:sz w:val="21"/>
                <w:szCs w:val="21"/>
              </w:rPr>
            </w:pPr>
            <w:r>
              <w:rPr>
                <w:rFonts w:cs="Times New Roman"/>
                <w:kern w:val="0"/>
                <w:sz w:val="21"/>
                <w:szCs w:val="21"/>
              </w:rPr>
              <w:t>31.3″</w:t>
            </w:r>
          </w:p>
        </w:tc>
        <w:tc>
          <w:tcPr>
            <w:tcW w:w="996"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一级</w:t>
            </w:r>
          </w:p>
        </w:tc>
        <w:tc>
          <w:tcPr>
            <w:tcW w:w="914"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60</w:t>
            </w:r>
          </w:p>
        </w:tc>
        <w:tc>
          <w:tcPr>
            <w:tcW w:w="900" w:type="dxa"/>
            <w:vAlign w:val="center"/>
          </w:tcPr>
          <w:p>
            <w:pPr>
              <w:kinsoku w:val="0"/>
              <w:overflowPunct w:val="0"/>
              <w:autoSpaceDE w:val="0"/>
              <w:autoSpaceDN w:val="0"/>
              <w:adjustRightInd w:val="0"/>
              <w:spacing w:line="240" w:lineRule="atLeast"/>
              <w:ind w:left="10" w:leftChars="4" w:firstLine="0" w:firstLineChars="0"/>
              <w:jc w:val="center"/>
              <w:rPr>
                <w:rFonts w:cs="Times New Roman"/>
                <w:kern w:val="0"/>
                <w:sz w:val="21"/>
                <w:szCs w:val="21"/>
              </w:rPr>
            </w:pPr>
            <w:r>
              <w:rPr>
                <w:rFonts w:cs="Times New Roman"/>
                <w:kern w:val="0"/>
                <w:sz w:val="21"/>
                <w:szCs w:val="21"/>
              </w:rPr>
              <w:t>0.011</w:t>
            </w:r>
          </w:p>
        </w:tc>
        <w:tc>
          <w:tcPr>
            <w:tcW w:w="901"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0.377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560"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杨家湾镇集</w:t>
            </w:r>
          </w:p>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中供水水源</w:t>
            </w:r>
          </w:p>
        </w:tc>
        <w:tc>
          <w:tcPr>
            <w:tcW w:w="1467" w:type="dxa"/>
            <w:vAlign w:val="center"/>
          </w:tcPr>
          <w:p>
            <w:pPr>
              <w:kinsoku w:val="0"/>
              <w:overflowPunct w:val="0"/>
              <w:autoSpaceDE w:val="0"/>
              <w:autoSpaceDN w:val="0"/>
              <w:adjustRightInd w:val="0"/>
              <w:spacing w:line="240" w:lineRule="atLeast"/>
              <w:ind w:right="108" w:firstLine="0" w:firstLineChars="0"/>
              <w:jc w:val="center"/>
              <w:rPr>
                <w:rFonts w:cs="Times New Roman"/>
                <w:kern w:val="0"/>
                <w:sz w:val="21"/>
                <w:szCs w:val="21"/>
              </w:rPr>
            </w:pPr>
            <w:r>
              <w:rPr>
                <w:rFonts w:cs="Times New Roman"/>
                <w:kern w:val="0"/>
                <w:sz w:val="21"/>
                <w:szCs w:val="21"/>
              </w:rPr>
              <w:t>DA0000140 931102G03</w:t>
            </w:r>
          </w:p>
        </w:tc>
        <w:tc>
          <w:tcPr>
            <w:tcW w:w="518" w:type="dxa"/>
            <w:vAlign w:val="center"/>
          </w:tcPr>
          <w:p>
            <w:pPr>
              <w:kinsoku w:val="0"/>
              <w:overflowPunct w:val="0"/>
              <w:autoSpaceDE w:val="0"/>
              <w:autoSpaceDN w:val="0"/>
              <w:adjustRightInd w:val="0"/>
              <w:spacing w:line="240" w:lineRule="atLeast"/>
              <w:ind w:right="5" w:firstLine="0" w:firstLineChars="0"/>
              <w:jc w:val="center"/>
              <w:rPr>
                <w:rFonts w:cs="Times New Roman"/>
                <w:kern w:val="0"/>
                <w:sz w:val="21"/>
                <w:szCs w:val="21"/>
              </w:rPr>
            </w:pPr>
            <w:r>
              <w:rPr>
                <w:rFonts w:cs="Times New Roman"/>
                <w:kern w:val="0"/>
                <w:sz w:val="21"/>
                <w:szCs w:val="21"/>
              </w:rPr>
              <w:t>1#</w:t>
            </w:r>
          </w:p>
        </w:tc>
        <w:tc>
          <w:tcPr>
            <w:tcW w:w="819"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800</w:t>
            </w:r>
          </w:p>
        </w:tc>
        <w:tc>
          <w:tcPr>
            <w:tcW w:w="1126"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岩溶裂隙</w:t>
            </w:r>
          </w:p>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承压水</w:t>
            </w:r>
          </w:p>
        </w:tc>
        <w:tc>
          <w:tcPr>
            <w:tcW w:w="653"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418</w:t>
            </w:r>
          </w:p>
        </w:tc>
        <w:tc>
          <w:tcPr>
            <w:tcW w:w="655"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120</w:t>
            </w:r>
          </w:p>
        </w:tc>
        <w:tc>
          <w:tcPr>
            <w:tcW w:w="807"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960</w:t>
            </w:r>
          </w:p>
        </w:tc>
        <w:tc>
          <w:tcPr>
            <w:tcW w:w="847"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120</w:t>
            </w:r>
          </w:p>
        </w:tc>
        <w:tc>
          <w:tcPr>
            <w:tcW w:w="638"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15</w:t>
            </w:r>
          </w:p>
        </w:tc>
        <w:tc>
          <w:tcPr>
            <w:tcW w:w="922"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111°07′</w:t>
            </w:r>
          </w:p>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18.5″</w:t>
            </w:r>
          </w:p>
        </w:tc>
        <w:tc>
          <w:tcPr>
            <w:tcW w:w="826"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38°56′</w:t>
            </w:r>
          </w:p>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19.5″</w:t>
            </w:r>
          </w:p>
        </w:tc>
        <w:tc>
          <w:tcPr>
            <w:tcW w:w="996"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一级</w:t>
            </w:r>
          </w:p>
        </w:tc>
        <w:tc>
          <w:tcPr>
            <w:tcW w:w="914"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50</w:t>
            </w:r>
          </w:p>
        </w:tc>
        <w:tc>
          <w:tcPr>
            <w:tcW w:w="900" w:type="dxa"/>
            <w:vAlign w:val="center"/>
          </w:tcPr>
          <w:p>
            <w:pPr>
              <w:kinsoku w:val="0"/>
              <w:overflowPunct w:val="0"/>
              <w:autoSpaceDE w:val="0"/>
              <w:autoSpaceDN w:val="0"/>
              <w:adjustRightInd w:val="0"/>
              <w:spacing w:line="240" w:lineRule="atLeast"/>
              <w:ind w:left="10" w:leftChars="4" w:firstLine="0" w:firstLineChars="0"/>
              <w:jc w:val="center"/>
              <w:rPr>
                <w:rFonts w:cs="Times New Roman"/>
                <w:kern w:val="0"/>
                <w:sz w:val="21"/>
                <w:szCs w:val="21"/>
              </w:rPr>
            </w:pPr>
            <w:r>
              <w:rPr>
                <w:rFonts w:cs="Times New Roman"/>
                <w:kern w:val="0"/>
                <w:sz w:val="21"/>
                <w:szCs w:val="21"/>
              </w:rPr>
              <w:t>0.008</w:t>
            </w:r>
          </w:p>
        </w:tc>
        <w:tc>
          <w:tcPr>
            <w:tcW w:w="901"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0.314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560"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桥头镇集中</w:t>
            </w:r>
          </w:p>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供水水源</w:t>
            </w:r>
          </w:p>
        </w:tc>
        <w:tc>
          <w:tcPr>
            <w:tcW w:w="1467" w:type="dxa"/>
            <w:vAlign w:val="center"/>
          </w:tcPr>
          <w:p>
            <w:pPr>
              <w:kinsoku w:val="0"/>
              <w:overflowPunct w:val="0"/>
              <w:autoSpaceDE w:val="0"/>
              <w:autoSpaceDN w:val="0"/>
              <w:adjustRightInd w:val="0"/>
              <w:spacing w:line="240" w:lineRule="atLeast"/>
              <w:ind w:left="136" w:right="108" w:firstLine="0" w:firstLineChars="0"/>
              <w:jc w:val="center"/>
              <w:rPr>
                <w:rFonts w:cs="Times New Roman"/>
                <w:kern w:val="0"/>
                <w:sz w:val="21"/>
                <w:szCs w:val="21"/>
              </w:rPr>
            </w:pPr>
            <w:r>
              <w:rPr>
                <w:rFonts w:cs="Times New Roman"/>
                <w:kern w:val="0"/>
                <w:sz w:val="21"/>
                <w:szCs w:val="21"/>
              </w:rPr>
              <w:t>DA0000140 931102G04</w:t>
            </w:r>
          </w:p>
        </w:tc>
        <w:tc>
          <w:tcPr>
            <w:tcW w:w="518" w:type="dxa"/>
            <w:vAlign w:val="center"/>
          </w:tcPr>
          <w:p>
            <w:pPr>
              <w:kinsoku w:val="0"/>
              <w:overflowPunct w:val="0"/>
              <w:autoSpaceDE w:val="0"/>
              <w:autoSpaceDN w:val="0"/>
              <w:adjustRightInd w:val="0"/>
              <w:spacing w:line="240" w:lineRule="atLeast"/>
              <w:ind w:right="5" w:firstLine="0" w:firstLineChars="0"/>
              <w:jc w:val="center"/>
              <w:rPr>
                <w:rFonts w:cs="Times New Roman"/>
                <w:kern w:val="0"/>
                <w:sz w:val="21"/>
                <w:szCs w:val="21"/>
              </w:rPr>
            </w:pPr>
            <w:r>
              <w:rPr>
                <w:rFonts w:cs="Times New Roman"/>
                <w:kern w:val="0"/>
                <w:sz w:val="21"/>
                <w:szCs w:val="21"/>
              </w:rPr>
              <w:t>1#</w:t>
            </w:r>
          </w:p>
        </w:tc>
        <w:tc>
          <w:tcPr>
            <w:tcW w:w="819" w:type="dxa"/>
            <w:vAlign w:val="center"/>
          </w:tcPr>
          <w:p>
            <w:pPr>
              <w:kinsoku w:val="0"/>
              <w:overflowPunct w:val="0"/>
              <w:autoSpaceDE w:val="0"/>
              <w:autoSpaceDN w:val="0"/>
              <w:adjustRightInd w:val="0"/>
              <w:spacing w:line="240" w:lineRule="atLeast"/>
              <w:ind w:left="170" w:firstLine="0" w:firstLineChars="0"/>
              <w:jc w:val="center"/>
              <w:rPr>
                <w:rFonts w:cs="Times New Roman"/>
                <w:kern w:val="0"/>
                <w:sz w:val="21"/>
                <w:szCs w:val="21"/>
              </w:rPr>
            </w:pPr>
            <w:r>
              <w:rPr>
                <w:rFonts w:cs="Times New Roman"/>
                <w:kern w:val="0"/>
                <w:sz w:val="21"/>
                <w:szCs w:val="21"/>
              </w:rPr>
              <w:t>248</w:t>
            </w:r>
          </w:p>
        </w:tc>
        <w:tc>
          <w:tcPr>
            <w:tcW w:w="1126"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岩溶裂隙</w:t>
            </w:r>
          </w:p>
          <w:p>
            <w:pPr>
              <w:kinsoku w:val="0"/>
              <w:overflowPunct w:val="0"/>
              <w:autoSpaceDE w:val="0"/>
              <w:autoSpaceDN w:val="0"/>
              <w:adjustRightInd w:val="0"/>
              <w:spacing w:line="240" w:lineRule="atLeast"/>
              <w:ind w:left="2" w:firstLine="0" w:firstLineChars="0"/>
              <w:jc w:val="center"/>
              <w:rPr>
                <w:rFonts w:cs="Times New Roman"/>
                <w:kern w:val="0"/>
                <w:sz w:val="21"/>
                <w:szCs w:val="21"/>
              </w:rPr>
            </w:pPr>
            <w:r>
              <w:rPr>
                <w:rFonts w:cs="Times New Roman"/>
                <w:kern w:val="0"/>
                <w:sz w:val="21"/>
                <w:szCs w:val="21"/>
              </w:rPr>
              <w:t>承压水</w:t>
            </w:r>
          </w:p>
        </w:tc>
        <w:tc>
          <w:tcPr>
            <w:tcW w:w="653"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98</w:t>
            </w:r>
          </w:p>
        </w:tc>
        <w:tc>
          <w:tcPr>
            <w:tcW w:w="655" w:type="dxa"/>
            <w:vAlign w:val="center"/>
          </w:tcPr>
          <w:p>
            <w:pPr>
              <w:kinsoku w:val="0"/>
              <w:overflowPunct w:val="0"/>
              <w:autoSpaceDE w:val="0"/>
              <w:autoSpaceDN w:val="0"/>
              <w:adjustRightInd w:val="0"/>
              <w:spacing w:line="240" w:lineRule="atLeast"/>
              <w:ind w:left="165" w:firstLine="0" w:firstLineChars="0"/>
              <w:jc w:val="center"/>
              <w:rPr>
                <w:rFonts w:cs="Times New Roman"/>
                <w:kern w:val="0"/>
                <w:sz w:val="21"/>
                <w:szCs w:val="21"/>
              </w:rPr>
            </w:pPr>
            <w:r>
              <w:rPr>
                <w:rFonts w:cs="Times New Roman"/>
                <w:kern w:val="0"/>
                <w:sz w:val="21"/>
                <w:szCs w:val="21"/>
              </w:rPr>
              <w:t>100</w:t>
            </w:r>
          </w:p>
        </w:tc>
        <w:tc>
          <w:tcPr>
            <w:tcW w:w="807" w:type="dxa"/>
            <w:vAlign w:val="center"/>
          </w:tcPr>
          <w:p>
            <w:pPr>
              <w:kinsoku w:val="0"/>
              <w:overflowPunct w:val="0"/>
              <w:autoSpaceDE w:val="0"/>
              <w:autoSpaceDN w:val="0"/>
              <w:adjustRightInd w:val="0"/>
              <w:spacing w:line="240" w:lineRule="atLeast"/>
              <w:ind w:left="160" w:firstLine="0" w:firstLineChars="0"/>
              <w:jc w:val="center"/>
              <w:rPr>
                <w:rFonts w:cs="Times New Roman"/>
                <w:kern w:val="0"/>
                <w:sz w:val="21"/>
                <w:szCs w:val="21"/>
              </w:rPr>
            </w:pPr>
            <w:r>
              <w:rPr>
                <w:rFonts w:cs="Times New Roman"/>
                <w:kern w:val="0"/>
                <w:sz w:val="21"/>
                <w:szCs w:val="21"/>
              </w:rPr>
              <w:t>983.6</w:t>
            </w:r>
          </w:p>
        </w:tc>
        <w:tc>
          <w:tcPr>
            <w:tcW w:w="847" w:type="dxa"/>
            <w:vAlign w:val="center"/>
          </w:tcPr>
          <w:p>
            <w:pPr>
              <w:kinsoku w:val="0"/>
              <w:overflowPunct w:val="0"/>
              <w:autoSpaceDE w:val="0"/>
              <w:autoSpaceDN w:val="0"/>
              <w:adjustRightInd w:val="0"/>
              <w:spacing w:line="240" w:lineRule="atLeast"/>
              <w:ind w:left="261" w:firstLine="0" w:firstLineChars="0"/>
              <w:jc w:val="center"/>
              <w:rPr>
                <w:rFonts w:cs="Times New Roman"/>
                <w:kern w:val="0"/>
                <w:sz w:val="21"/>
                <w:szCs w:val="21"/>
              </w:rPr>
            </w:pPr>
            <w:r>
              <w:rPr>
                <w:rFonts w:cs="Times New Roman"/>
                <w:kern w:val="0"/>
                <w:sz w:val="21"/>
                <w:szCs w:val="21"/>
              </w:rPr>
              <w:t>134</w:t>
            </w:r>
          </w:p>
        </w:tc>
        <w:tc>
          <w:tcPr>
            <w:tcW w:w="638" w:type="dxa"/>
            <w:vAlign w:val="center"/>
          </w:tcPr>
          <w:p>
            <w:pPr>
              <w:kinsoku w:val="0"/>
              <w:overflowPunct w:val="0"/>
              <w:autoSpaceDE w:val="0"/>
              <w:autoSpaceDN w:val="0"/>
              <w:adjustRightInd w:val="0"/>
              <w:spacing w:line="240" w:lineRule="atLeast"/>
              <w:ind w:left="208" w:firstLine="0" w:firstLineChars="0"/>
              <w:jc w:val="center"/>
              <w:rPr>
                <w:rFonts w:cs="Times New Roman"/>
                <w:kern w:val="0"/>
                <w:sz w:val="21"/>
                <w:szCs w:val="21"/>
              </w:rPr>
            </w:pPr>
            <w:r>
              <w:rPr>
                <w:rFonts w:cs="Times New Roman"/>
                <w:kern w:val="0"/>
                <w:sz w:val="21"/>
                <w:szCs w:val="21"/>
              </w:rPr>
              <w:t>16</w:t>
            </w:r>
          </w:p>
        </w:tc>
        <w:tc>
          <w:tcPr>
            <w:tcW w:w="922" w:type="dxa"/>
            <w:vAlign w:val="center"/>
          </w:tcPr>
          <w:p>
            <w:pPr>
              <w:kinsoku w:val="0"/>
              <w:overflowPunct w:val="0"/>
              <w:autoSpaceDE w:val="0"/>
              <w:autoSpaceDN w:val="0"/>
              <w:adjustRightInd w:val="0"/>
              <w:spacing w:line="240" w:lineRule="atLeast"/>
              <w:ind w:left="136" w:firstLine="0" w:firstLineChars="0"/>
              <w:jc w:val="center"/>
              <w:rPr>
                <w:rFonts w:cs="Times New Roman"/>
                <w:kern w:val="0"/>
                <w:sz w:val="21"/>
                <w:szCs w:val="21"/>
              </w:rPr>
            </w:pPr>
            <w:r>
              <w:rPr>
                <w:rFonts w:cs="Times New Roman"/>
                <w:kern w:val="0"/>
                <w:sz w:val="21"/>
                <w:szCs w:val="21"/>
              </w:rPr>
              <w:t>111°09′</w:t>
            </w:r>
          </w:p>
          <w:p>
            <w:pPr>
              <w:kinsoku w:val="0"/>
              <w:overflowPunct w:val="0"/>
              <w:autoSpaceDE w:val="0"/>
              <w:autoSpaceDN w:val="0"/>
              <w:adjustRightInd w:val="0"/>
              <w:spacing w:line="240" w:lineRule="atLeast"/>
              <w:ind w:left="228" w:firstLine="0" w:firstLineChars="0"/>
              <w:jc w:val="center"/>
              <w:rPr>
                <w:rFonts w:cs="Times New Roman"/>
                <w:kern w:val="0"/>
                <w:sz w:val="21"/>
                <w:szCs w:val="21"/>
              </w:rPr>
            </w:pPr>
            <w:r>
              <w:rPr>
                <w:rFonts w:cs="Times New Roman"/>
                <w:kern w:val="0"/>
                <w:sz w:val="21"/>
                <w:szCs w:val="21"/>
              </w:rPr>
              <w:t>29.4″</w:t>
            </w:r>
          </w:p>
        </w:tc>
        <w:tc>
          <w:tcPr>
            <w:tcW w:w="826" w:type="dxa"/>
            <w:vAlign w:val="center"/>
          </w:tcPr>
          <w:p>
            <w:pPr>
              <w:kinsoku w:val="0"/>
              <w:overflowPunct w:val="0"/>
              <w:autoSpaceDE w:val="0"/>
              <w:autoSpaceDN w:val="0"/>
              <w:adjustRightInd w:val="0"/>
              <w:spacing w:line="240" w:lineRule="atLeast"/>
              <w:ind w:left="132" w:firstLine="0" w:firstLineChars="0"/>
              <w:jc w:val="center"/>
              <w:rPr>
                <w:rFonts w:cs="Times New Roman"/>
                <w:kern w:val="0"/>
                <w:sz w:val="21"/>
                <w:szCs w:val="21"/>
              </w:rPr>
            </w:pPr>
            <w:r>
              <w:rPr>
                <w:rFonts w:cs="Times New Roman"/>
                <w:kern w:val="0"/>
                <w:sz w:val="21"/>
                <w:szCs w:val="21"/>
              </w:rPr>
              <w:t>38°56′</w:t>
            </w:r>
          </w:p>
          <w:p>
            <w:pPr>
              <w:kinsoku w:val="0"/>
              <w:overflowPunct w:val="0"/>
              <w:autoSpaceDE w:val="0"/>
              <w:autoSpaceDN w:val="0"/>
              <w:adjustRightInd w:val="0"/>
              <w:spacing w:line="240" w:lineRule="atLeast"/>
              <w:ind w:left="180" w:firstLine="0" w:firstLineChars="0"/>
              <w:jc w:val="center"/>
              <w:rPr>
                <w:rFonts w:cs="Times New Roman"/>
                <w:kern w:val="0"/>
                <w:sz w:val="21"/>
                <w:szCs w:val="21"/>
              </w:rPr>
            </w:pPr>
            <w:r>
              <w:rPr>
                <w:rFonts w:cs="Times New Roman"/>
                <w:kern w:val="0"/>
                <w:sz w:val="21"/>
                <w:szCs w:val="21"/>
              </w:rPr>
              <w:t>17.7″</w:t>
            </w:r>
          </w:p>
        </w:tc>
        <w:tc>
          <w:tcPr>
            <w:tcW w:w="996"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一级</w:t>
            </w:r>
          </w:p>
        </w:tc>
        <w:tc>
          <w:tcPr>
            <w:tcW w:w="914"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50</w:t>
            </w:r>
          </w:p>
        </w:tc>
        <w:tc>
          <w:tcPr>
            <w:tcW w:w="900" w:type="dxa"/>
            <w:vAlign w:val="center"/>
          </w:tcPr>
          <w:p>
            <w:pPr>
              <w:kinsoku w:val="0"/>
              <w:overflowPunct w:val="0"/>
              <w:autoSpaceDE w:val="0"/>
              <w:autoSpaceDN w:val="0"/>
              <w:adjustRightInd w:val="0"/>
              <w:spacing w:line="240" w:lineRule="atLeast"/>
              <w:ind w:left="10" w:leftChars="4" w:firstLine="0" w:firstLineChars="0"/>
              <w:jc w:val="center"/>
              <w:rPr>
                <w:rFonts w:cs="Times New Roman"/>
                <w:kern w:val="0"/>
                <w:sz w:val="21"/>
                <w:szCs w:val="21"/>
              </w:rPr>
            </w:pPr>
            <w:r>
              <w:rPr>
                <w:rFonts w:cs="Times New Roman"/>
                <w:kern w:val="0"/>
                <w:sz w:val="21"/>
                <w:szCs w:val="21"/>
              </w:rPr>
              <w:t>0.008</w:t>
            </w:r>
          </w:p>
        </w:tc>
        <w:tc>
          <w:tcPr>
            <w:tcW w:w="901"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0.314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560"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窑洼乡集中</w:t>
            </w:r>
          </w:p>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供水水源</w:t>
            </w:r>
          </w:p>
        </w:tc>
        <w:tc>
          <w:tcPr>
            <w:tcW w:w="1467" w:type="dxa"/>
            <w:vAlign w:val="center"/>
          </w:tcPr>
          <w:p>
            <w:pPr>
              <w:kinsoku w:val="0"/>
              <w:overflowPunct w:val="0"/>
              <w:autoSpaceDE w:val="0"/>
              <w:autoSpaceDN w:val="0"/>
              <w:adjustRightInd w:val="0"/>
              <w:spacing w:line="240" w:lineRule="atLeast"/>
              <w:ind w:left="134" w:right="108" w:firstLine="0" w:firstLineChars="0"/>
              <w:jc w:val="center"/>
              <w:rPr>
                <w:rFonts w:cs="Times New Roman"/>
                <w:kern w:val="0"/>
                <w:sz w:val="21"/>
                <w:szCs w:val="21"/>
              </w:rPr>
            </w:pPr>
            <w:r>
              <w:rPr>
                <w:rFonts w:cs="Times New Roman"/>
                <w:kern w:val="0"/>
                <w:sz w:val="21"/>
                <w:szCs w:val="21"/>
              </w:rPr>
              <w:t>DA0000140 931206G05</w:t>
            </w:r>
          </w:p>
        </w:tc>
        <w:tc>
          <w:tcPr>
            <w:tcW w:w="518" w:type="dxa"/>
            <w:vAlign w:val="center"/>
          </w:tcPr>
          <w:p>
            <w:pPr>
              <w:kinsoku w:val="0"/>
              <w:overflowPunct w:val="0"/>
              <w:autoSpaceDE w:val="0"/>
              <w:autoSpaceDN w:val="0"/>
              <w:adjustRightInd w:val="0"/>
              <w:spacing w:line="240" w:lineRule="atLeast"/>
              <w:ind w:right="5" w:firstLine="0" w:firstLineChars="0"/>
              <w:jc w:val="center"/>
              <w:rPr>
                <w:rFonts w:cs="Times New Roman"/>
                <w:kern w:val="0"/>
                <w:sz w:val="21"/>
                <w:szCs w:val="21"/>
              </w:rPr>
            </w:pPr>
            <w:r>
              <w:rPr>
                <w:rFonts w:cs="Times New Roman"/>
                <w:kern w:val="0"/>
                <w:sz w:val="21"/>
                <w:szCs w:val="21"/>
              </w:rPr>
              <w:t>1#</w:t>
            </w:r>
          </w:p>
        </w:tc>
        <w:tc>
          <w:tcPr>
            <w:tcW w:w="819"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284.56</w:t>
            </w:r>
          </w:p>
        </w:tc>
        <w:tc>
          <w:tcPr>
            <w:tcW w:w="1126"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岩溶裂隙</w:t>
            </w:r>
          </w:p>
          <w:p>
            <w:pPr>
              <w:kinsoku w:val="0"/>
              <w:overflowPunct w:val="0"/>
              <w:autoSpaceDE w:val="0"/>
              <w:autoSpaceDN w:val="0"/>
              <w:adjustRightInd w:val="0"/>
              <w:spacing w:line="240" w:lineRule="atLeast"/>
              <w:ind w:left="2" w:firstLine="0" w:firstLineChars="0"/>
              <w:jc w:val="center"/>
              <w:rPr>
                <w:rFonts w:cs="Times New Roman"/>
                <w:kern w:val="0"/>
                <w:sz w:val="21"/>
                <w:szCs w:val="21"/>
              </w:rPr>
            </w:pPr>
            <w:r>
              <w:rPr>
                <w:rFonts w:cs="Times New Roman"/>
                <w:kern w:val="0"/>
                <w:sz w:val="21"/>
                <w:szCs w:val="21"/>
              </w:rPr>
              <w:t>承压水</w:t>
            </w:r>
          </w:p>
        </w:tc>
        <w:tc>
          <w:tcPr>
            <w:tcW w:w="653" w:type="dxa"/>
            <w:vAlign w:val="center"/>
          </w:tcPr>
          <w:p>
            <w:pPr>
              <w:kinsoku w:val="0"/>
              <w:overflowPunct w:val="0"/>
              <w:autoSpaceDE w:val="0"/>
              <w:autoSpaceDN w:val="0"/>
              <w:adjustRightInd w:val="0"/>
              <w:spacing w:line="240" w:lineRule="atLeast"/>
              <w:ind w:left="163" w:firstLine="0" w:firstLineChars="0"/>
              <w:jc w:val="center"/>
              <w:rPr>
                <w:rFonts w:cs="Times New Roman"/>
                <w:kern w:val="0"/>
                <w:sz w:val="21"/>
                <w:szCs w:val="21"/>
              </w:rPr>
            </w:pPr>
            <w:r>
              <w:rPr>
                <w:rFonts w:cs="Times New Roman"/>
                <w:kern w:val="0"/>
                <w:sz w:val="21"/>
                <w:szCs w:val="21"/>
              </w:rPr>
              <w:t>100</w:t>
            </w:r>
          </w:p>
        </w:tc>
        <w:tc>
          <w:tcPr>
            <w:tcW w:w="655"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90</w:t>
            </w:r>
          </w:p>
        </w:tc>
        <w:tc>
          <w:tcPr>
            <w:tcW w:w="807" w:type="dxa"/>
            <w:vAlign w:val="center"/>
          </w:tcPr>
          <w:p>
            <w:pPr>
              <w:kinsoku w:val="0"/>
              <w:overflowPunct w:val="0"/>
              <w:autoSpaceDE w:val="0"/>
              <w:autoSpaceDN w:val="0"/>
              <w:adjustRightInd w:val="0"/>
              <w:spacing w:line="240" w:lineRule="atLeast"/>
              <w:ind w:left="107" w:firstLine="0" w:firstLineChars="0"/>
              <w:jc w:val="center"/>
              <w:rPr>
                <w:rFonts w:cs="Times New Roman"/>
                <w:kern w:val="0"/>
                <w:sz w:val="21"/>
                <w:szCs w:val="21"/>
              </w:rPr>
            </w:pPr>
            <w:r>
              <w:rPr>
                <w:rFonts w:cs="Times New Roman"/>
                <w:kern w:val="0"/>
                <w:sz w:val="21"/>
                <w:szCs w:val="21"/>
              </w:rPr>
              <w:t>1050.8</w:t>
            </w:r>
          </w:p>
        </w:tc>
        <w:tc>
          <w:tcPr>
            <w:tcW w:w="847" w:type="dxa"/>
            <w:vAlign w:val="center"/>
          </w:tcPr>
          <w:p>
            <w:pPr>
              <w:kinsoku w:val="0"/>
              <w:overflowPunct w:val="0"/>
              <w:autoSpaceDE w:val="0"/>
              <w:autoSpaceDN w:val="0"/>
              <w:adjustRightInd w:val="0"/>
              <w:spacing w:line="240" w:lineRule="atLeast"/>
              <w:ind w:left="261" w:firstLine="0" w:firstLineChars="0"/>
              <w:jc w:val="center"/>
              <w:rPr>
                <w:rFonts w:cs="Times New Roman"/>
                <w:kern w:val="0"/>
                <w:sz w:val="21"/>
                <w:szCs w:val="21"/>
              </w:rPr>
            </w:pPr>
            <w:r>
              <w:rPr>
                <w:rFonts w:cs="Times New Roman"/>
                <w:kern w:val="0"/>
                <w:sz w:val="21"/>
                <w:szCs w:val="21"/>
              </w:rPr>
              <w:t>196</w:t>
            </w:r>
          </w:p>
        </w:tc>
        <w:tc>
          <w:tcPr>
            <w:tcW w:w="638" w:type="dxa"/>
            <w:vAlign w:val="center"/>
          </w:tcPr>
          <w:p>
            <w:pPr>
              <w:kinsoku w:val="0"/>
              <w:overflowPunct w:val="0"/>
              <w:autoSpaceDE w:val="0"/>
              <w:autoSpaceDN w:val="0"/>
              <w:adjustRightInd w:val="0"/>
              <w:spacing w:line="240" w:lineRule="atLeast"/>
              <w:ind w:left="208" w:firstLine="0" w:firstLineChars="0"/>
              <w:jc w:val="center"/>
              <w:rPr>
                <w:rFonts w:cs="Times New Roman"/>
                <w:kern w:val="0"/>
                <w:sz w:val="21"/>
                <w:szCs w:val="21"/>
              </w:rPr>
            </w:pPr>
            <w:r>
              <w:rPr>
                <w:rFonts w:cs="Times New Roman"/>
                <w:kern w:val="0"/>
                <w:sz w:val="21"/>
                <w:szCs w:val="21"/>
              </w:rPr>
              <w:t>17</w:t>
            </w:r>
          </w:p>
        </w:tc>
        <w:tc>
          <w:tcPr>
            <w:tcW w:w="922" w:type="dxa"/>
            <w:vAlign w:val="center"/>
          </w:tcPr>
          <w:p>
            <w:pPr>
              <w:kinsoku w:val="0"/>
              <w:overflowPunct w:val="0"/>
              <w:autoSpaceDE w:val="0"/>
              <w:autoSpaceDN w:val="0"/>
              <w:adjustRightInd w:val="0"/>
              <w:spacing w:line="240" w:lineRule="atLeast"/>
              <w:ind w:left="136" w:firstLine="0" w:firstLineChars="0"/>
              <w:jc w:val="center"/>
              <w:rPr>
                <w:rFonts w:cs="Times New Roman"/>
                <w:kern w:val="0"/>
                <w:sz w:val="21"/>
                <w:szCs w:val="21"/>
              </w:rPr>
            </w:pPr>
            <w:r>
              <w:rPr>
                <w:rFonts w:cs="Times New Roman"/>
                <w:kern w:val="0"/>
                <w:sz w:val="21"/>
                <w:szCs w:val="21"/>
              </w:rPr>
              <w:t>111°12′</w:t>
            </w:r>
          </w:p>
          <w:p>
            <w:pPr>
              <w:kinsoku w:val="0"/>
              <w:overflowPunct w:val="0"/>
              <w:autoSpaceDE w:val="0"/>
              <w:autoSpaceDN w:val="0"/>
              <w:adjustRightInd w:val="0"/>
              <w:spacing w:line="240" w:lineRule="atLeast"/>
              <w:ind w:left="228" w:firstLine="0" w:firstLineChars="0"/>
              <w:jc w:val="center"/>
              <w:rPr>
                <w:rFonts w:cs="Times New Roman"/>
                <w:kern w:val="0"/>
                <w:sz w:val="21"/>
                <w:szCs w:val="21"/>
              </w:rPr>
            </w:pPr>
            <w:r>
              <w:rPr>
                <w:rFonts w:cs="Times New Roman"/>
                <w:kern w:val="0"/>
                <w:sz w:val="21"/>
                <w:szCs w:val="21"/>
              </w:rPr>
              <w:t>31.7″</w:t>
            </w:r>
          </w:p>
        </w:tc>
        <w:tc>
          <w:tcPr>
            <w:tcW w:w="826" w:type="dxa"/>
            <w:vAlign w:val="center"/>
          </w:tcPr>
          <w:p>
            <w:pPr>
              <w:kinsoku w:val="0"/>
              <w:overflowPunct w:val="0"/>
              <w:autoSpaceDE w:val="0"/>
              <w:autoSpaceDN w:val="0"/>
              <w:adjustRightInd w:val="0"/>
              <w:spacing w:line="240" w:lineRule="atLeast"/>
              <w:ind w:left="132" w:firstLine="0" w:firstLineChars="0"/>
              <w:jc w:val="center"/>
              <w:rPr>
                <w:rFonts w:cs="Times New Roman"/>
                <w:kern w:val="0"/>
                <w:sz w:val="21"/>
                <w:szCs w:val="21"/>
              </w:rPr>
            </w:pPr>
            <w:r>
              <w:rPr>
                <w:rFonts w:cs="Times New Roman"/>
                <w:kern w:val="0"/>
                <w:sz w:val="21"/>
                <w:szCs w:val="21"/>
              </w:rPr>
              <w:t>38°54′</w:t>
            </w:r>
          </w:p>
          <w:p>
            <w:pPr>
              <w:kinsoku w:val="0"/>
              <w:overflowPunct w:val="0"/>
              <w:autoSpaceDE w:val="0"/>
              <w:autoSpaceDN w:val="0"/>
              <w:adjustRightInd w:val="0"/>
              <w:spacing w:line="240" w:lineRule="atLeast"/>
              <w:ind w:left="180" w:firstLine="0" w:firstLineChars="0"/>
              <w:jc w:val="center"/>
              <w:rPr>
                <w:rFonts w:cs="Times New Roman"/>
                <w:kern w:val="0"/>
                <w:sz w:val="21"/>
                <w:szCs w:val="21"/>
              </w:rPr>
            </w:pPr>
            <w:r>
              <w:rPr>
                <w:rFonts w:cs="Times New Roman"/>
                <w:kern w:val="0"/>
                <w:sz w:val="21"/>
                <w:szCs w:val="21"/>
              </w:rPr>
              <w:t>27.3″</w:t>
            </w:r>
          </w:p>
        </w:tc>
        <w:tc>
          <w:tcPr>
            <w:tcW w:w="996"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一级</w:t>
            </w:r>
          </w:p>
        </w:tc>
        <w:tc>
          <w:tcPr>
            <w:tcW w:w="914"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60</w:t>
            </w:r>
          </w:p>
        </w:tc>
        <w:tc>
          <w:tcPr>
            <w:tcW w:w="900" w:type="dxa"/>
            <w:vAlign w:val="center"/>
          </w:tcPr>
          <w:p>
            <w:pPr>
              <w:kinsoku w:val="0"/>
              <w:overflowPunct w:val="0"/>
              <w:autoSpaceDE w:val="0"/>
              <w:autoSpaceDN w:val="0"/>
              <w:adjustRightInd w:val="0"/>
              <w:spacing w:line="240" w:lineRule="atLeast"/>
              <w:ind w:left="10" w:leftChars="4" w:firstLine="0" w:firstLineChars="0"/>
              <w:jc w:val="center"/>
              <w:rPr>
                <w:rFonts w:cs="Times New Roman"/>
                <w:kern w:val="0"/>
                <w:sz w:val="21"/>
                <w:szCs w:val="21"/>
              </w:rPr>
            </w:pPr>
            <w:r>
              <w:rPr>
                <w:rFonts w:cs="Times New Roman"/>
                <w:kern w:val="0"/>
                <w:sz w:val="21"/>
                <w:szCs w:val="21"/>
              </w:rPr>
              <w:t>0.011</w:t>
            </w:r>
          </w:p>
        </w:tc>
        <w:tc>
          <w:tcPr>
            <w:tcW w:w="901"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0.377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560"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尧圪台乡集</w:t>
            </w:r>
          </w:p>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中供水水源</w:t>
            </w:r>
          </w:p>
        </w:tc>
        <w:tc>
          <w:tcPr>
            <w:tcW w:w="1467" w:type="dxa"/>
            <w:vAlign w:val="center"/>
          </w:tcPr>
          <w:p>
            <w:pPr>
              <w:kinsoku w:val="0"/>
              <w:overflowPunct w:val="0"/>
              <w:autoSpaceDE w:val="0"/>
              <w:autoSpaceDN w:val="0"/>
              <w:adjustRightInd w:val="0"/>
              <w:spacing w:line="240" w:lineRule="atLeast"/>
              <w:ind w:right="108" w:firstLine="0" w:firstLineChars="0"/>
              <w:jc w:val="center"/>
              <w:rPr>
                <w:rFonts w:cs="Times New Roman"/>
                <w:kern w:val="0"/>
                <w:sz w:val="21"/>
                <w:szCs w:val="21"/>
              </w:rPr>
            </w:pPr>
            <w:r>
              <w:rPr>
                <w:rFonts w:cs="Times New Roman"/>
                <w:kern w:val="0"/>
                <w:sz w:val="21"/>
                <w:szCs w:val="21"/>
              </w:rPr>
              <w:t>DA0000140 931207G06</w:t>
            </w:r>
          </w:p>
        </w:tc>
        <w:tc>
          <w:tcPr>
            <w:tcW w:w="518" w:type="dxa"/>
            <w:vAlign w:val="center"/>
          </w:tcPr>
          <w:p>
            <w:pPr>
              <w:kinsoku w:val="0"/>
              <w:overflowPunct w:val="0"/>
              <w:autoSpaceDE w:val="0"/>
              <w:autoSpaceDN w:val="0"/>
              <w:adjustRightInd w:val="0"/>
              <w:spacing w:line="240" w:lineRule="atLeast"/>
              <w:ind w:right="5" w:firstLine="0" w:firstLineChars="0"/>
              <w:jc w:val="center"/>
              <w:rPr>
                <w:rFonts w:cs="Times New Roman"/>
                <w:kern w:val="0"/>
                <w:sz w:val="21"/>
                <w:szCs w:val="21"/>
              </w:rPr>
            </w:pPr>
            <w:r>
              <w:rPr>
                <w:rFonts w:cs="Times New Roman"/>
                <w:kern w:val="0"/>
                <w:sz w:val="21"/>
                <w:szCs w:val="21"/>
              </w:rPr>
              <w:t>1#</w:t>
            </w:r>
          </w:p>
        </w:tc>
        <w:tc>
          <w:tcPr>
            <w:tcW w:w="819"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400</w:t>
            </w:r>
          </w:p>
        </w:tc>
        <w:tc>
          <w:tcPr>
            <w:tcW w:w="1126"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岩溶裂隙</w:t>
            </w:r>
          </w:p>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承压水</w:t>
            </w:r>
          </w:p>
        </w:tc>
        <w:tc>
          <w:tcPr>
            <w:tcW w:w="653"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150</w:t>
            </w:r>
          </w:p>
        </w:tc>
        <w:tc>
          <w:tcPr>
            <w:tcW w:w="655"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120</w:t>
            </w:r>
          </w:p>
        </w:tc>
        <w:tc>
          <w:tcPr>
            <w:tcW w:w="807"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1040.5</w:t>
            </w:r>
          </w:p>
        </w:tc>
        <w:tc>
          <w:tcPr>
            <w:tcW w:w="847"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190</w:t>
            </w:r>
          </w:p>
        </w:tc>
        <w:tc>
          <w:tcPr>
            <w:tcW w:w="638"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11</w:t>
            </w:r>
          </w:p>
        </w:tc>
        <w:tc>
          <w:tcPr>
            <w:tcW w:w="922"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111°13′</w:t>
            </w:r>
          </w:p>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33.9″</w:t>
            </w:r>
          </w:p>
        </w:tc>
        <w:tc>
          <w:tcPr>
            <w:tcW w:w="826"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38°57′</w:t>
            </w:r>
          </w:p>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13.7″</w:t>
            </w:r>
          </w:p>
        </w:tc>
        <w:tc>
          <w:tcPr>
            <w:tcW w:w="996"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一级</w:t>
            </w:r>
          </w:p>
        </w:tc>
        <w:tc>
          <w:tcPr>
            <w:tcW w:w="914"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50</w:t>
            </w:r>
          </w:p>
        </w:tc>
        <w:tc>
          <w:tcPr>
            <w:tcW w:w="900" w:type="dxa"/>
            <w:vAlign w:val="center"/>
          </w:tcPr>
          <w:p>
            <w:pPr>
              <w:kinsoku w:val="0"/>
              <w:overflowPunct w:val="0"/>
              <w:autoSpaceDE w:val="0"/>
              <w:autoSpaceDN w:val="0"/>
              <w:adjustRightInd w:val="0"/>
              <w:spacing w:line="240" w:lineRule="atLeast"/>
              <w:ind w:left="10" w:leftChars="4" w:firstLine="0" w:firstLineChars="0"/>
              <w:jc w:val="center"/>
              <w:rPr>
                <w:rFonts w:cs="Times New Roman"/>
                <w:kern w:val="0"/>
                <w:sz w:val="21"/>
                <w:szCs w:val="21"/>
              </w:rPr>
            </w:pPr>
            <w:r>
              <w:rPr>
                <w:rFonts w:cs="Times New Roman"/>
                <w:kern w:val="0"/>
                <w:sz w:val="21"/>
                <w:szCs w:val="21"/>
              </w:rPr>
              <w:t>0.008</w:t>
            </w:r>
          </w:p>
        </w:tc>
        <w:tc>
          <w:tcPr>
            <w:tcW w:w="901"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0.314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560"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孙家沟集中</w:t>
            </w:r>
          </w:p>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供水水源</w:t>
            </w:r>
          </w:p>
        </w:tc>
        <w:tc>
          <w:tcPr>
            <w:tcW w:w="1467" w:type="dxa"/>
            <w:vAlign w:val="center"/>
          </w:tcPr>
          <w:p>
            <w:pPr>
              <w:kinsoku w:val="0"/>
              <w:overflowPunct w:val="0"/>
              <w:autoSpaceDE w:val="0"/>
              <w:autoSpaceDN w:val="0"/>
              <w:adjustRightInd w:val="0"/>
              <w:spacing w:line="240" w:lineRule="atLeast"/>
              <w:ind w:left="134" w:right="108" w:firstLine="0" w:firstLineChars="0"/>
              <w:jc w:val="center"/>
              <w:rPr>
                <w:rFonts w:cs="Times New Roman"/>
                <w:kern w:val="0"/>
                <w:sz w:val="21"/>
                <w:szCs w:val="21"/>
              </w:rPr>
            </w:pPr>
            <w:r>
              <w:rPr>
                <w:rFonts w:cs="Times New Roman"/>
                <w:kern w:val="0"/>
                <w:sz w:val="21"/>
                <w:szCs w:val="21"/>
              </w:rPr>
              <w:t>DA0000140 931205G07</w:t>
            </w:r>
          </w:p>
        </w:tc>
        <w:tc>
          <w:tcPr>
            <w:tcW w:w="518" w:type="dxa"/>
            <w:vAlign w:val="center"/>
          </w:tcPr>
          <w:p>
            <w:pPr>
              <w:kinsoku w:val="0"/>
              <w:overflowPunct w:val="0"/>
              <w:autoSpaceDE w:val="0"/>
              <w:autoSpaceDN w:val="0"/>
              <w:adjustRightInd w:val="0"/>
              <w:spacing w:line="240" w:lineRule="atLeast"/>
              <w:ind w:right="5" w:firstLine="0" w:firstLineChars="0"/>
              <w:jc w:val="center"/>
              <w:rPr>
                <w:rFonts w:cs="Times New Roman"/>
                <w:kern w:val="0"/>
                <w:sz w:val="21"/>
                <w:szCs w:val="21"/>
              </w:rPr>
            </w:pPr>
            <w:r>
              <w:rPr>
                <w:rFonts w:cs="Times New Roman"/>
                <w:kern w:val="0"/>
                <w:sz w:val="21"/>
                <w:szCs w:val="21"/>
              </w:rPr>
              <w:t>1#</w:t>
            </w:r>
          </w:p>
        </w:tc>
        <w:tc>
          <w:tcPr>
            <w:tcW w:w="819" w:type="dxa"/>
            <w:vAlign w:val="center"/>
          </w:tcPr>
          <w:p>
            <w:pPr>
              <w:kinsoku w:val="0"/>
              <w:overflowPunct w:val="0"/>
              <w:autoSpaceDE w:val="0"/>
              <w:autoSpaceDN w:val="0"/>
              <w:adjustRightInd w:val="0"/>
              <w:spacing w:line="240" w:lineRule="atLeast"/>
              <w:ind w:left="170" w:firstLine="0" w:firstLineChars="0"/>
              <w:jc w:val="center"/>
              <w:rPr>
                <w:rFonts w:cs="Times New Roman"/>
                <w:kern w:val="0"/>
                <w:sz w:val="21"/>
                <w:szCs w:val="21"/>
              </w:rPr>
            </w:pPr>
            <w:r>
              <w:rPr>
                <w:rFonts w:cs="Times New Roman"/>
                <w:kern w:val="0"/>
                <w:sz w:val="21"/>
                <w:szCs w:val="21"/>
              </w:rPr>
              <w:t>400</w:t>
            </w:r>
          </w:p>
        </w:tc>
        <w:tc>
          <w:tcPr>
            <w:tcW w:w="1126"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岩溶裂隙</w:t>
            </w:r>
          </w:p>
          <w:p>
            <w:pPr>
              <w:kinsoku w:val="0"/>
              <w:overflowPunct w:val="0"/>
              <w:autoSpaceDE w:val="0"/>
              <w:autoSpaceDN w:val="0"/>
              <w:adjustRightInd w:val="0"/>
              <w:spacing w:line="240" w:lineRule="atLeast"/>
              <w:ind w:left="2" w:firstLine="0" w:firstLineChars="0"/>
              <w:jc w:val="center"/>
              <w:rPr>
                <w:rFonts w:cs="Times New Roman"/>
                <w:kern w:val="0"/>
                <w:sz w:val="21"/>
                <w:szCs w:val="21"/>
              </w:rPr>
            </w:pPr>
            <w:r>
              <w:rPr>
                <w:rFonts w:cs="Times New Roman"/>
                <w:kern w:val="0"/>
                <w:sz w:val="21"/>
                <w:szCs w:val="21"/>
              </w:rPr>
              <w:t>承压水</w:t>
            </w:r>
          </w:p>
        </w:tc>
        <w:tc>
          <w:tcPr>
            <w:tcW w:w="653" w:type="dxa"/>
            <w:vAlign w:val="center"/>
          </w:tcPr>
          <w:p>
            <w:pPr>
              <w:kinsoku w:val="0"/>
              <w:overflowPunct w:val="0"/>
              <w:autoSpaceDE w:val="0"/>
              <w:autoSpaceDN w:val="0"/>
              <w:adjustRightInd w:val="0"/>
              <w:spacing w:line="240" w:lineRule="atLeast"/>
              <w:ind w:left="167" w:firstLine="0" w:firstLineChars="0"/>
              <w:jc w:val="center"/>
              <w:rPr>
                <w:rFonts w:cs="Times New Roman"/>
                <w:kern w:val="0"/>
                <w:sz w:val="21"/>
                <w:szCs w:val="21"/>
              </w:rPr>
            </w:pPr>
            <w:r>
              <w:rPr>
                <w:rFonts w:cs="Times New Roman"/>
                <w:kern w:val="0"/>
                <w:sz w:val="21"/>
                <w:szCs w:val="21"/>
              </w:rPr>
              <w:t>110</w:t>
            </w:r>
          </w:p>
        </w:tc>
        <w:tc>
          <w:tcPr>
            <w:tcW w:w="655" w:type="dxa"/>
            <w:vAlign w:val="center"/>
          </w:tcPr>
          <w:p>
            <w:pPr>
              <w:kinsoku w:val="0"/>
              <w:overflowPunct w:val="0"/>
              <w:autoSpaceDE w:val="0"/>
              <w:autoSpaceDN w:val="0"/>
              <w:adjustRightInd w:val="0"/>
              <w:spacing w:line="240" w:lineRule="atLeast"/>
              <w:ind w:left="165" w:firstLine="0" w:firstLineChars="0"/>
              <w:jc w:val="center"/>
              <w:rPr>
                <w:rFonts w:cs="Times New Roman"/>
                <w:kern w:val="0"/>
                <w:sz w:val="21"/>
                <w:szCs w:val="21"/>
              </w:rPr>
            </w:pPr>
            <w:r>
              <w:rPr>
                <w:rFonts w:cs="Times New Roman"/>
                <w:kern w:val="0"/>
                <w:sz w:val="21"/>
                <w:szCs w:val="21"/>
              </w:rPr>
              <w:t>100</w:t>
            </w:r>
          </w:p>
        </w:tc>
        <w:tc>
          <w:tcPr>
            <w:tcW w:w="807" w:type="dxa"/>
            <w:vAlign w:val="center"/>
          </w:tcPr>
          <w:p>
            <w:pPr>
              <w:kinsoku w:val="0"/>
              <w:overflowPunct w:val="0"/>
              <w:autoSpaceDE w:val="0"/>
              <w:autoSpaceDN w:val="0"/>
              <w:adjustRightInd w:val="0"/>
              <w:spacing w:line="240" w:lineRule="atLeast"/>
              <w:ind w:left="112" w:firstLine="0" w:firstLineChars="0"/>
              <w:jc w:val="center"/>
              <w:rPr>
                <w:rFonts w:cs="Times New Roman"/>
                <w:kern w:val="0"/>
                <w:sz w:val="21"/>
                <w:szCs w:val="21"/>
              </w:rPr>
            </w:pPr>
            <w:r>
              <w:rPr>
                <w:rFonts w:cs="Times New Roman"/>
                <w:kern w:val="0"/>
                <w:sz w:val="21"/>
                <w:szCs w:val="21"/>
              </w:rPr>
              <w:t>1149.4</w:t>
            </w:r>
          </w:p>
        </w:tc>
        <w:tc>
          <w:tcPr>
            <w:tcW w:w="847" w:type="dxa"/>
            <w:vAlign w:val="center"/>
          </w:tcPr>
          <w:p>
            <w:pPr>
              <w:kinsoku w:val="0"/>
              <w:overflowPunct w:val="0"/>
              <w:autoSpaceDE w:val="0"/>
              <w:autoSpaceDN w:val="0"/>
              <w:adjustRightInd w:val="0"/>
              <w:spacing w:line="240" w:lineRule="atLeast"/>
              <w:ind w:left="261" w:firstLine="0" w:firstLineChars="0"/>
              <w:jc w:val="center"/>
              <w:rPr>
                <w:rFonts w:cs="Times New Roman"/>
                <w:kern w:val="0"/>
                <w:sz w:val="21"/>
                <w:szCs w:val="21"/>
              </w:rPr>
            </w:pPr>
            <w:r>
              <w:rPr>
                <w:rFonts w:cs="Times New Roman"/>
                <w:kern w:val="0"/>
                <w:sz w:val="21"/>
                <w:szCs w:val="21"/>
              </w:rPr>
              <w:t>198</w:t>
            </w:r>
          </w:p>
        </w:tc>
        <w:tc>
          <w:tcPr>
            <w:tcW w:w="638" w:type="dxa"/>
            <w:vAlign w:val="center"/>
          </w:tcPr>
          <w:p>
            <w:pPr>
              <w:kinsoku w:val="0"/>
              <w:overflowPunct w:val="0"/>
              <w:autoSpaceDE w:val="0"/>
              <w:autoSpaceDN w:val="0"/>
              <w:adjustRightInd w:val="0"/>
              <w:spacing w:line="240" w:lineRule="atLeast"/>
              <w:ind w:left="208" w:firstLine="0" w:firstLineChars="0"/>
              <w:jc w:val="center"/>
              <w:rPr>
                <w:rFonts w:cs="Times New Roman"/>
                <w:kern w:val="0"/>
                <w:sz w:val="21"/>
                <w:szCs w:val="21"/>
              </w:rPr>
            </w:pPr>
            <w:r>
              <w:rPr>
                <w:rFonts w:cs="Times New Roman"/>
                <w:kern w:val="0"/>
                <w:sz w:val="21"/>
                <w:szCs w:val="21"/>
              </w:rPr>
              <w:t>19</w:t>
            </w:r>
          </w:p>
        </w:tc>
        <w:tc>
          <w:tcPr>
            <w:tcW w:w="922" w:type="dxa"/>
            <w:vAlign w:val="center"/>
          </w:tcPr>
          <w:p>
            <w:pPr>
              <w:kinsoku w:val="0"/>
              <w:overflowPunct w:val="0"/>
              <w:autoSpaceDE w:val="0"/>
              <w:autoSpaceDN w:val="0"/>
              <w:adjustRightInd w:val="0"/>
              <w:spacing w:line="240" w:lineRule="atLeast"/>
              <w:ind w:left="3" w:firstLine="0" w:firstLineChars="0"/>
              <w:jc w:val="center"/>
              <w:rPr>
                <w:rFonts w:cs="Times New Roman"/>
                <w:kern w:val="0"/>
                <w:sz w:val="21"/>
                <w:szCs w:val="21"/>
              </w:rPr>
            </w:pPr>
            <w:r>
              <w:rPr>
                <w:rFonts w:cs="Times New Roman"/>
                <w:kern w:val="0"/>
                <w:sz w:val="21"/>
                <w:szCs w:val="21"/>
              </w:rPr>
              <w:t>111°09′</w:t>
            </w:r>
          </w:p>
          <w:p>
            <w:pPr>
              <w:kinsoku w:val="0"/>
              <w:overflowPunct w:val="0"/>
              <w:autoSpaceDE w:val="0"/>
              <w:autoSpaceDN w:val="0"/>
              <w:adjustRightInd w:val="0"/>
              <w:spacing w:line="240" w:lineRule="atLeast"/>
              <w:ind w:left="1" w:firstLine="0" w:firstLineChars="0"/>
              <w:jc w:val="center"/>
              <w:rPr>
                <w:rFonts w:cs="Times New Roman"/>
                <w:kern w:val="0"/>
                <w:sz w:val="21"/>
                <w:szCs w:val="21"/>
              </w:rPr>
            </w:pPr>
            <w:r>
              <w:rPr>
                <w:rFonts w:cs="Times New Roman"/>
                <w:kern w:val="0"/>
                <w:sz w:val="21"/>
                <w:szCs w:val="21"/>
              </w:rPr>
              <w:t>8.6″</w:t>
            </w:r>
          </w:p>
        </w:tc>
        <w:tc>
          <w:tcPr>
            <w:tcW w:w="826" w:type="dxa"/>
            <w:vAlign w:val="center"/>
          </w:tcPr>
          <w:p>
            <w:pPr>
              <w:kinsoku w:val="0"/>
              <w:overflowPunct w:val="0"/>
              <w:autoSpaceDE w:val="0"/>
              <w:autoSpaceDN w:val="0"/>
              <w:adjustRightInd w:val="0"/>
              <w:spacing w:line="240" w:lineRule="atLeast"/>
              <w:ind w:left="132" w:firstLine="0" w:firstLineChars="0"/>
              <w:jc w:val="center"/>
              <w:rPr>
                <w:rFonts w:cs="Times New Roman"/>
                <w:kern w:val="0"/>
                <w:sz w:val="21"/>
                <w:szCs w:val="21"/>
              </w:rPr>
            </w:pPr>
            <w:r>
              <w:rPr>
                <w:rFonts w:cs="Times New Roman"/>
                <w:kern w:val="0"/>
                <w:sz w:val="21"/>
                <w:szCs w:val="21"/>
              </w:rPr>
              <w:t>38°50′</w:t>
            </w:r>
          </w:p>
          <w:p>
            <w:pPr>
              <w:kinsoku w:val="0"/>
              <w:overflowPunct w:val="0"/>
              <w:autoSpaceDE w:val="0"/>
              <w:autoSpaceDN w:val="0"/>
              <w:adjustRightInd w:val="0"/>
              <w:spacing w:line="240" w:lineRule="atLeast"/>
              <w:ind w:left="180" w:firstLine="0" w:firstLineChars="0"/>
              <w:jc w:val="center"/>
              <w:rPr>
                <w:rFonts w:cs="Times New Roman"/>
                <w:kern w:val="0"/>
                <w:sz w:val="21"/>
                <w:szCs w:val="21"/>
              </w:rPr>
            </w:pPr>
            <w:r>
              <w:rPr>
                <w:rFonts w:cs="Times New Roman"/>
                <w:kern w:val="0"/>
                <w:sz w:val="21"/>
                <w:szCs w:val="21"/>
              </w:rPr>
              <w:t>28.6″</w:t>
            </w:r>
          </w:p>
        </w:tc>
        <w:tc>
          <w:tcPr>
            <w:tcW w:w="996"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一级</w:t>
            </w:r>
          </w:p>
        </w:tc>
        <w:tc>
          <w:tcPr>
            <w:tcW w:w="914"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50</w:t>
            </w:r>
          </w:p>
        </w:tc>
        <w:tc>
          <w:tcPr>
            <w:tcW w:w="900" w:type="dxa"/>
            <w:vAlign w:val="center"/>
          </w:tcPr>
          <w:p>
            <w:pPr>
              <w:kinsoku w:val="0"/>
              <w:overflowPunct w:val="0"/>
              <w:autoSpaceDE w:val="0"/>
              <w:autoSpaceDN w:val="0"/>
              <w:adjustRightInd w:val="0"/>
              <w:spacing w:line="240" w:lineRule="atLeast"/>
              <w:ind w:left="10" w:leftChars="4" w:firstLine="0" w:firstLineChars="0"/>
              <w:jc w:val="center"/>
              <w:rPr>
                <w:rFonts w:cs="Times New Roman"/>
                <w:kern w:val="0"/>
                <w:sz w:val="21"/>
                <w:szCs w:val="21"/>
              </w:rPr>
            </w:pPr>
            <w:r>
              <w:rPr>
                <w:rFonts w:cs="Times New Roman"/>
                <w:kern w:val="0"/>
                <w:sz w:val="21"/>
                <w:szCs w:val="21"/>
              </w:rPr>
              <w:t>0.008</w:t>
            </w:r>
          </w:p>
        </w:tc>
        <w:tc>
          <w:tcPr>
            <w:tcW w:w="901"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0.314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560"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南河沟集中</w:t>
            </w:r>
          </w:p>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供水水源</w:t>
            </w:r>
          </w:p>
        </w:tc>
        <w:tc>
          <w:tcPr>
            <w:tcW w:w="1467" w:type="dxa"/>
            <w:vAlign w:val="center"/>
          </w:tcPr>
          <w:p>
            <w:pPr>
              <w:kinsoku w:val="0"/>
              <w:overflowPunct w:val="0"/>
              <w:autoSpaceDE w:val="0"/>
              <w:autoSpaceDN w:val="0"/>
              <w:adjustRightInd w:val="0"/>
              <w:spacing w:line="240" w:lineRule="atLeast"/>
              <w:ind w:left="134" w:right="108" w:firstLine="0" w:firstLineChars="0"/>
              <w:jc w:val="center"/>
              <w:rPr>
                <w:rFonts w:cs="Times New Roman"/>
                <w:kern w:val="0"/>
                <w:sz w:val="21"/>
                <w:szCs w:val="21"/>
              </w:rPr>
            </w:pPr>
            <w:r>
              <w:rPr>
                <w:rFonts w:cs="Times New Roman"/>
                <w:kern w:val="0"/>
                <w:sz w:val="21"/>
                <w:szCs w:val="21"/>
              </w:rPr>
              <w:t>DA0000140 931208G08</w:t>
            </w:r>
          </w:p>
        </w:tc>
        <w:tc>
          <w:tcPr>
            <w:tcW w:w="518" w:type="dxa"/>
            <w:vAlign w:val="center"/>
          </w:tcPr>
          <w:p>
            <w:pPr>
              <w:kinsoku w:val="0"/>
              <w:overflowPunct w:val="0"/>
              <w:autoSpaceDE w:val="0"/>
              <w:autoSpaceDN w:val="0"/>
              <w:adjustRightInd w:val="0"/>
              <w:spacing w:line="240" w:lineRule="atLeast"/>
              <w:ind w:right="5" w:firstLine="0" w:firstLineChars="0"/>
              <w:jc w:val="center"/>
              <w:rPr>
                <w:rFonts w:cs="Times New Roman"/>
                <w:kern w:val="0"/>
                <w:sz w:val="21"/>
                <w:szCs w:val="21"/>
              </w:rPr>
            </w:pPr>
            <w:r>
              <w:rPr>
                <w:rFonts w:cs="Times New Roman"/>
                <w:kern w:val="0"/>
                <w:sz w:val="21"/>
                <w:szCs w:val="21"/>
              </w:rPr>
              <w:t>1#</w:t>
            </w:r>
          </w:p>
        </w:tc>
        <w:tc>
          <w:tcPr>
            <w:tcW w:w="819" w:type="dxa"/>
            <w:vAlign w:val="center"/>
          </w:tcPr>
          <w:p>
            <w:pPr>
              <w:kinsoku w:val="0"/>
              <w:overflowPunct w:val="0"/>
              <w:autoSpaceDE w:val="0"/>
              <w:autoSpaceDN w:val="0"/>
              <w:adjustRightInd w:val="0"/>
              <w:spacing w:line="240" w:lineRule="atLeast"/>
              <w:ind w:left="170" w:firstLine="0" w:firstLineChars="0"/>
              <w:jc w:val="center"/>
              <w:rPr>
                <w:rFonts w:cs="Times New Roman"/>
                <w:kern w:val="0"/>
                <w:sz w:val="21"/>
                <w:szCs w:val="21"/>
              </w:rPr>
            </w:pPr>
            <w:r>
              <w:rPr>
                <w:rFonts w:cs="Times New Roman"/>
                <w:kern w:val="0"/>
                <w:sz w:val="21"/>
                <w:szCs w:val="21"/>
              </w:rPr>
              <w:t>520</w:t>
            </w:r>
          </w:p>
        </w:tc>
        <w:tc>
          <w:tcPr>
            <w:tcW w:w="1126"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岩溶裂隙</w:t>
            </w:r>
          </w:p>
          <w:p>
            <w:pPr>
              <w:kinsoku w:val="0"/>
              <w:overflowPunct w:val="0"/>
              <w:autoSpaceDE w:val="0"/>
              <w:autoSpaceDN w:val="0"/>
              <w:adjustRightInd w:val="0"/>
              <w:spacing w:line="240" w:lineRule="atLeast"/>
              <w:ind w:left="2" w:firstLine="0" w:firstLineChars="0"/>
              <w:jc w:val="center"/>
              <w:rPr>
                <w:rFonts w:cs="Times New Roman"/>
                <w:kern w:val="0"/>
                <w:sz w:val="21"/>
                <w:szCs w:val="21"/>
              </w:rPr>
            </w:pPr>
            <w:r>
              <w:rPr>
                <w:rFonts w:cs="Times New Roman"/>
                <w:kern w:val="0"/>
                <w:sz w:val="21"/>
                <w:szCs w:val="21"/>
              </w:rPr>
              <w:t>承压水</w:t>
            </w:r>
          </w:p>
        </w:tc>
        <w:tc>
          <w:tcPr>
            <w:tcW w:w="653" w:type="dxa"/>
            <w:vAlign w:val="center"/>
          </w:tcPr>
          <w:p>
            <w:pPr>
              <w:kinsoku w:val="0"/>
              <w:overflowPunct w:val="0"/>
              <w:autoSpaceDE w:val="0"/>
              <w:autoSpaceDN w:val="0"/>
              <w:adjustRightInd w:val="0"/>
              <w:spacing w:line="240" w:lineRule="atLeast"/>
              <w:ind w:left="163" w:firstLine="0" w:firstLineChars="0"/>
              <w:jc w:val="center"/>
              <w:rPr>
                <w:rFonts w:cs="Times New Roman"/>
                <w:kern w:val="0"/>
                <w:sz w:val="21"/>
                <w:szCs w:val="21"/>
              </w:rPr>
            </w:pPr>
            <w:r>
              <w:rPr>
                <w:rFonts w:cs="Times New Roman"/>
                <w:kern w:val="0"/>
                <w:sz w:val="21"/>
                <w:szCs w:val="21"/>
              </w:rPr>
              <w:t>220</w:t>
            </w:r>
          </w:p>
        </w:tc>
        <w:tc>
          <w:tcPr>
            <w:tcW w:w="655" w:type="dxa"/>
            <w:vAlign w:val="center"/>
          </w:tcPr>
          <w:p>
            <w:pPr>
              <w:kinsoku w:val="0"/>
              <w:overflowPunct w:val="0"/>
              <w:autoSpaceDE w:val="0"/>
              <w:autoSpaceDN w:val="0"/>
              <w:adjustRightInd w:val="0"/>
              <w:spacing w:line="240" w:lineRule="atLeast"/>
              <w:ind w:left="165" w:firstLine="0" w:firstLineChars="0"/>
              <w:jc w:val="center"/>
              <w:rPr>
                <w:rFonts w:cs="Times New Roman"/>
                <w:kern w:val="0"/>
                <w:sz w:val="21"/>
                <w:szCs w:val="21"/>
              </w:rPr>
            </w:pPr>
            <w:r>
              <w:rPr>
                <w:rFonts w:cs="Times New Roman"/>
                <w:kern w:val="0"/>
                <w:sz w:val="21"/>
                <w:szCs w:val="21"/>
              </w:rPr>
              <w:t>120</w:t>
            </w:r>
          </w:p>
        </w:tc>
        <w:tc>
          <w:tcPr>
            <w:tcW w:w="807" w:type="dxa"/>
            <w:vAlign w:val="center"/>
          </w:tcPr>
          <w:p>
            <w:pPr>
              <w:kinsoku w:val="0"/>
              <w:overflowPunct w:val="0"/>
              <w:autoSpaceDE w:val="0"/>
              <w:autoSpaceDN w:val="0"/>
              <w:adjustRightInd w:val="0"/>
              <w:spacing w:line="240" w:lineRule="atLeast"/>
              <w:ind w:left="107" w:firstLine="0" w:firstLineChars="0"/>
              <w:jc w:val="center"/>
              <w:rPr>
                <w:rFonts w:cs="Times New Roman"/>
                <w:kern w:val="0"/>
                <w:sz w:val="21"/>
                <w:szCs w:val="21"/>
              </w:rPr>
            </w:pPr>
            <w:r>
              <w:rPr>
                <w:rFonts w:cs="Times New Roman"/>
                <w:kern w:val="0"/>
                <w:sz w:val="21"/>
                <w:szCs w:val="21"/>
              </w:rPr>
              <w:t>1247.3</w:t>
            </w:r>
          </w:p>
        </w:tc>
        <w:tc>
          <w:tcPr>
            <w:tcW w:w="847" w:type="dxa"/>
            <w:vAlign w:val="center"/>
          </w:tcPr>
          <w:p>
            <w:pPr>
              <w:kinsoku w:val="0"/>
              <w:overflowPunct w:val="0"/>
              <w:autoSpaceDE w:val="0"/>
              <w:autoSpaceDN w:val="0"/>
              <w:adjustRightInd w:val="0"/>
              <w:spacing w:line="240" w:lineRule="atLeast"/>
              <w:ind w:left="261" w:firstLine="0" w:firstLineChars="0"/>
              <w:jc w:val="center"/>
              <w:rPr>
                <w:rFonts w:cs="Times New Roman"/>
                <w:kern w:val="0"/>
                <w:sz w:val="21"/>
                <w:szCs w:val="21"/>
              </w:rPr>
            </w:pPr>
            <w:r>
              <w:rPr>
                <w:rFonts w:cs="Times New Roman"/>
                <w:kern w:val="0"/>
                <w:sz w:val="21"/>
                <w:szCs w:val="21"/>
              </w:rPr>
              <w:t>310</w:t>
            </w:r>
          </w:p>
        </w:tc>
        <w:tc>
          <w:tcPr>
            <w:tcW w:w="638" w:type="dxa"/>
            <w:vAlign w:val="center"/>
          </w:tcPr>
          <w:p>
            <w:pPr>
              <w:kinsoku w:val="0"/>
              <w:overflowPunct w:val="0"/>
              <w:autoSpaceDE w:val="0"/>
              <w:autoSpaceDN w:val="0"/>
              <w:adjustRightInd w:val="0"/>
              <w:spacing w:line="240" w:lineRule="atLeast"/>
              <w:ind w:left="208" w:firstLine="0" w:firstLineChars="0"/>
              <w:jc w:val="center"/>
              <w:rPr>
                <w:rFonts w:cs="Times New Roman"/>
                <w:kern w:val="0"/>
                <w:sz w:val="21"/>
                <w:szCs w:val="21"/>
              </w:rPr>
            </w:pPr>
            <w:r>
              <w:rPr>
                <w:rFonts w:cs="Times New Roman"/>
                <w:kern w:val="0"/>
                <w:sz w:val="21"/>
                <w:szCs w:val="21"/>
              </w:rPr>
              <w:t>18</w:t>
            </w:r>
          </w:p>
        </w:tc>
        <w:tc>
          <w:tcPr>
            <w:tcW w:w="922" w:type="dxa"/>
            <w:vAlign w:val="center"/>
          </w:tcPr>
          <w:p>
            <w:pPr>
              <w:kinsoku w:val="0"/>
              <w:overflowPunct w:val="0"/>
              <w:autoSpaceDE w:val="0"/>
              <w:autoSpaceDN w:val="0"/>
              <w:adjustRightInd w:val="0"/>
              <w:spacing w:line="240" w:lineRule="atLeast"/>
              <w:ind w:left="136" w:firstLine="0" w:firstLineChars="0"/>
              <w:jc w:val="center"/>
              <w:rPr>
                <w:rFonts w:cs="Times New Roman"/>
                <w:kern w:val="0"/>
                <w:sz w:val="21"/>
                <w:szCs w:val="21"/>
              </w:rPr>
            </w:pPr>
            <w:r>
              <w:rPr>
                <w:rFonts w:cs="Times New Roman"/>
                <w:kern w:val="0"/>
                <w:sz w:val="21"/>
                <w:szCs w:val="21"/>
              </w:rPr>
              <w:t>111°06′</w:t>
            </w:r>
          </w:p>
          <w:p>
            <w:pPr>
              <w:kinsoku w:val="0"/>
              <w:overflowPunct w:val="0"/>
              <w:autoSpaceDE w:val="0"/>
              <w:autoSpaceDN w:val="0"/>
              <w:adjustRightInd w:val="0"/>
              <w:spacing w:line="240" w:lineRule="atLeast"/>
              <w:ind w:left="228" w:firstLine="0" w:firstLineChars="0"/>
              <w:jc w:val="center"/>
              <w:rPr>
                <w:rFonts w:cs="Times New Roman"/>
                <w:kern w:val="0"/>
                <w:sz w:val="21"/>
                <w:szCs w:val="21"/>
              </w:rPr>
            </w:pPr>
            <w:r>
              <w:rPr>
                <w:rFonts w:cs="Times New Roman"/>
                <w:kern w:val="0"/>
                <w:sz w:val="21"/>
                <w:szCs w:val="21"/>
              </w:rPr>
              <w:t>32.6″</w:t>
            </w:r>
          </w:p>
        </w:tc>
        <w:tc>
          <w:tcPr>
            <w:tcW w:w="826" w:type="dxa"/>
            <w:vAlign w:val="center"/>
          </w:tcPr>
          <w:p>
            <w:pPr>
              <w:kinsoku w:val="0"/>
              <w:overflowPunct w:val="0"/>
              <w:autoSpaceDE w:val="0"/>
              <w:autoSpaceDN w:val="0"/>
              <w:adjustRightInd w:val="0"/>
              <w:spacing w:line="240" w:lineRule="atLeast"/>
              <w:ind w:left="132" w:firstLine="0" w:firstLineChars="0"/>
              <w:jc w:val="center"/>
              <w:rPr>
                <w:rFonts w:cs="Times New Roman"/>
                <w:kern w:val="0"/>
                <w:sz w:val="21"/>
                <w:szCs w:val="21"/>
              </w:rPr>
            </w:pPr>
            <w:r>
              <w:rPr>
                <w:rFonts w:cs="Times New Roman"/>
                <w:kern w:val="0"/>
                <w:sz w:val="21"/>
                <w:szCs w:val="21"/>
              </w:rPr>
              <w:t>38°45′</w:t>
            </w:r>
          </w:p>
          <w:p>
            <w:pPr>
              <w:kinsoku w:val="0"/>
              <w:overflowPunct w:val="0"/>
              <w:autoSpaceDE w:val="0"/>
              <w:autoSpaceDN w:val="0"/>
              <w:adjustRightInd w:val="0"/>
              <w:spacing w:line="240" w:lineRule="atLeast"/>
              <w:ind w:left="180" w:firstLine="0" w:firstLineChars="0"/>
              <w:jc w:val="center"/>
              <w:rPr>
                <w:rFonts w:cs="Times New Roman"/>
                <w:kern w:val="0"/>
                <w:sz w:val="21"/>
                <w:szCs w:val="21"/>
              </w:rPr>
            </w:pPr>
            <w:r>
              <w:rPr>
                <w:rFonts w:cs="Times New Roman"/>
                <w:kern w:val="0"/>
                <w:sz w:val="21"/>
                <w:szCs w:val="21"/>
              </w:rPr>
              <w:t>35.7″</w:t>
            </w:r>
          </w:p>
        </w:tc>
        <w:tc>
          <w:tcPr>
            <w:tcW w:w="996"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一级</w:t>
            </w:r>
          </w:p>
        </w:tc>
        <w:tc>
          <w:tcPr>
            <w:tcW w:w="914"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50</w:t>
            </w:r>
          </w:p>
        </w:tc>
        <w:tc>
          <w:tcPr>
            <w:tcW w:w="900" w:type="dxa"/>
            <w:vAlign w:val="center"/>
          </w:tcPr>
          <w:p>
            <w:pPr>
              <w:kinsoku w:val="0"/>
              <w:overflowPunct w:val="0"/>
              <w:autoSpaceDE w:val="0"/>
              <w:autoSpaceDN w:val="0"/>
              <w:adjustRightInd w:val="0"/>
              <w:spacing w:line="240" w:lineRule="atLeast"/>
              <w:ind w:left="10" w:leftChars="4" w:firstLine="0" w:firstLineChars="0"/>
              <w:jc w:val="center"/>
              <w:rPr>
                <w:rFonts w:cs="Times New Roman"/>
                <w:kern w:val="0"/>
                <w:sz w:val="21"/>
                <w:szCs w:val="21"/>
              </w:rPr>
            </w:pPr>
            <w:r>
              <w:rPr>
                <w:rFonts w:cs="Times New Roman"/>
                <w:kern w:val="0"/>
                <w:sz w:val="21"/>
                <w:szCs w:val="21"/>
              </w:rPr>
              <w:t>0.008</w:t>
            </w:r>
          </w:p>
        </w:tc>
        <w:tc>
          <w:tcPr>
            <w:tcW w:w="901"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0.314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560"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土崖塔集中</w:t>
            </w:r>
          </w:p>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供水水源</w:t>
            </w:r>
          </w:p>
        </w:tc>
        <w:tc>
          <w:tcPr>
            <w:tcW w:w="1467" w:type="dxa"/>
            <w:vAlign w:val="center"/>
          </w:tcPr>
          <w:p>
            <w:pPr>
              <w:kinsoku w:val="0"/>
              <w:overflowPunct w:val="0"/>
              <w:autoSpaceDE w:val="0"/>
              <w:autoSpaceDN w:val="0"/>
              <w:adjustRightInd w:val="0"/>
              <w:spacing w:line="240" w:lineRule="atLeast"/>
              <w:ind w:left="134" w:right="108" w:firstLine="0" w:firstLineChars="0"/>
              <w:jc w:val="center"/>
              <w:rPr>
                <w:rFonts w:cs="Times New Roman"/>
                <w:kern w:val="0"/>
                <w:sz w:val="21"/>
                <w:szCs w:val="21"/>
              </w:rPr>
            </w:pPr>
            <w:r>
              <w:rPr>
                <w:rFonts w:cs="Times New Roman"/>
                <w:kern w:val="0"/>
                <w:sz w:val="21"/>
                <w:szCs w:val="21"/>
              </w:rPr>
              <w:t>DA0000140 931204G09</w:t>
            </w:r>
          </w:p>
        </w:tc>
        <w:tc>
          <w:tcPr>
            <w:tcW w:w="518" w:type="dxa"/>
            <w:vAlign w:val="center"/>
          </w:tcPr>
          <w:p>
            <w:pPr>
              <w:kinsoku w:val="0"/>
              <w:overflowPunct w:val="0"/>
              <w:autoSpaceDE w:val="0"/>
              <w:autoSpaceDN w:val="0"/>
              <w:adjustRightInd w:val="0"/>
              <w:spacing w:line="240" w:lineRule="atLeast"/>
              <w:ind w:right="5" w:firstLine="0" w:firstLineChars="0"/>
              <w:jc w:val="center"/>
              <w:rPr>
                <w:rFonts w:cs="Times New Roman"/>
                <w:kern w:val="0"/>
                <w:sz w:val="21"/>
                <w:szCs w:val="21"/>
              </w:rPr>
            </w:pPr>
            <w:r>
              <w:rPr>
                <w:rFonts w:cs="Times New Roman"/>
                <w:kern w:val="0"/>
                <w:sz w:val="21"/>
                <w:szCs w:val="21"/>
              </w:rPr>
              <w:t>1#</w:t>
            </w:r>
          </w:p>
        </w:tc>
        <w:tc>
          <w:tcPr>
            <w:tcW w:w="819"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22</w:t>
            </w:r>
          </w:p>
        </w:tc>
        <w:tc>
          <w:tcPr>
            <w:tcW w:w="1126" w:type="dxa"/>
            <w:vAlign w:val="center"/>
          </w:tcPr>
          <w:p>
            <w:pPr>
              <w:kinsoku w:val="0"/>
              <w:overflowPunct w:val="0"/>
              <w:autoSpaceDE w:val="0"/>
              <w:autoSpaceDN w:val="0"/>
              <w:adjustRightInd w:val="0"/>
              <w:spacing w:line="240" w:lineRule="atLeast"/>
              <w:ind w:left="136" w:firstLine="0" w:firstLineChars="0"/>
              <w:jc w:val="center"/>
              <w:rPr>
                <w:rFonts w:cs="Times New Roman"/>
                <w:kern w:val="0"/>
                <w:sz w:val="21"/>
                <w:szCs w:val="21"/>
              </w:rPr>
            </w:pPr>
            <w:r>
              <w:rPr>
                <w:rFonts w:cs="Times New Roman"/>
                <w:kern w:val="0"/>
                <w:sz w:val="21"/>
                <w:szCs w:val="21"/>
              </w:rPr>
              <w:t>孔隙潜水</w:t>
            </w:r>
          </w:p>
        </w:tc>
        <w:tc>
          <w:tcPr>
            <w:tcW w:w="653"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3</w:t>
            </w:r>
          </w:p>
        </w:tc>
        <w:tc>
          <w:tcPr>
            <w:tcW w:w="655"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19</w:t>
            </w:r>
          </w:p>
        </w:tc>
        <w:tc>
          <w:tcPr>
            <w:tcW w:w="807" w:type="dxa"/>
            <w:vAlign w:val="center"/>
          </w:tcPr>
          <w:p>
            <w:pPr>
              <w:kinsoku w:val="0"/>
              <w:overflowPunct w:val="0"/>
              <w:autoSpaceDE w:val="0"/>
              <w:autoSpaceDN w:val="0"/>
              <w:adjustRightInd w:val="0"/>
              <w:spacing w:line="240" w:lineRule="atLeast"/>
              <w:ind w:left="239" w:firstLine="0" w:firstLineChars="0"/>
              <w:jc w:val="center"/>
              <w:rPr>
                <w:rFonts w:cs="Times New Roman"/>
                <w:kern w:val="0"/>
                <w:sz w:val="21"/>
                <w:szCs w:val="21"/>
              </w:rPr>
            </w:pPr>
            <w:r>
              <w:rPr>
                <w:rFonts w:cs="Times New Roman"/>
                <w:kern w:val="0"/>
                <w:sz w:val="21"/>
                <w:szCs w:val="21"/>
              </w:rPr>
              <w:t>900</w:t>
            </w:r>
          </w:p>
        </w:tc>
        <w:tc>
          <w:tcPr>
            <w:tcW w:w="847" w:type="dxa"/>
            <w:vAlign w:val="center"/>
          </w:tcPr>
          <w:p>
            <w:pPr>
              <w:kinsoku w:val="0"/>
              <w:overflowPunct w:val="0"/>
              <w:autoSpaceDE w:val="0"/>
              <w:autoSpaceDN w:val="0"/>
              <w:adjustRightInd w:val="0"/>
              <w:spacing w:line="240" w:lineRule="atLeast"/>
              <w:ind w:left="2" w:firstLine="0" w:firstLineChars="0"/>
              <w:jc w:val="center"/>
              <w:rPr>
                <w:rFonts w:cs="Times New Roman"/>
                <w:kern w:val="0"/>
                <w:sz w:val="21"/>
                <w:szCs w:val="21"/>
              </w:rPr>
            </w:pPr>
            <w:r>
              <w:rPr>
                <w:rFonts w:cs="Times New Roman"/>
                <w:kern w:val="0"/>
                <w:sz w:val="21"/>
                <w:szCs w:val="21"/>
              </w:rPr>
              <w:t>3</w:t>
            </w:r>
          </w:p>
        </w:tc>
        <w:tc>
          <w:tcPr>
            <w:tcW w:w="638"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8</w:t>
            </w:r>
          </w:p>
        </w:tc>
        <w:tc>
          <w:tcPr>
            <w:tcW w:w="922" w:type="dxa"/>
            <w:vAlign w:val="center"/>
          </w:tcPr>
          <w:p>
            <w:pPr>
              <w:kinsoku w:val="0"/>
              <w:overflowPunct w:val="0"/>
              <w:autoSpaceDE w:val="0"/>
              <w:autoSpaceDN w:val="0"/>
              <w:adjustRightInd w:val="0"/>
              <w:spacing w:line="240" w:lineRule="atLeast"/>
              <w:ind w:left="136" w:firstLine="0" w:firstLineChars="0"/>
              <w:jc w:val="center"/>
              <w:rPr>
                <w:rFonts w:cs="Times New Roman"/>
                <w:kern w:val="0"/>
                <w:sz w:val="21"/>
                <w:szCs w:val="21"/>
              </w:rPr>
            </w:pPr>
            <w:r>
              <w:rPr>
                <w:rFonts w:cs="Times New Roman"/>
                <w:kern w:val="0"/>
                <w:sz w:val="21"/>
                <w:szCs w:val="21"/>
              </w:rPr>
              <w:t>111°01′</w:t>
            </w:r>
          </w:p>
          <w:p>
            <w:pPr>
              <w:kinsoku w:val="0"/>
              <w:overflowPunct w:val="0"/>
              <w:autoSpaceDE w:val="0"/>
              <w:autoSpaceDN w:val="0"/>
              <w:adjustRightInd w:val="0"/>
              <w:spacing w:line="240" w:lineRule="atLeast"/>
              <w:ind w:left="228" w:firstLine="0" w:firstLineChars="0"/>
              <w:jc w:val="center"/>
              <w:rPr>
                <w:rFonts w:cs="Times New Roman"/>
                <w:kern w:val="0"/>
                <w:sz w:val="21"/>
                <w:szCs w:val="21"/>
              </w:rPr>
            </w:pPr>
            <w:r>
              <w:rPr>
                <w:rFonts w:cs="Times New Roman"/>
                <w:kern w:val="0"/>
                <w:sz w:val="21"/>
                <w:szCs w:val="21"/>
              </w:rPr>
              <w:t>46.6″</w:t>
            </w:r>
          </w:p>
        </w:tc>
        <w:tc>
          <w:tcPr>
            <w:tcW w:w="826" w:type="dxa"/>
            <w:vAlign w:val="center"/>
          </w:tcPr>
          <w:p>
            <w:pPr>
              <w:kinsoku w:val="0"/>
              <w:overflowPunct w:val="0"/>
              <w:autoSpaceDE w:val="0"/>
              <w:autoSpaceDN w:val="0"/>
              <w:adjustRightInd w:val="0"/>
              <w:spacing w:line="240" w:lineRule="atLeast"/>
              <w:ind w:left="132" w:firstLine="0" w:firstLineChars="0"/>
              <w:jc w:val="center"/>
              <w:rPr>
                <w:rFonts w:cs="Times New Roman"/>
                <w:kern w:val="0"/>
                <w:sz w:val="21"/>
                <w:szCs w:val="21"/>
              </w:rPr>
            </w:pPr>
            <w:r>
              <w:rPr>
                <w:rFonts w:cs="Times New Roman"/>
                <w:kern w:val="0"/>
                <w:sz w:val="21"/>
                <w:szCs w:val="21"/>
              </w:rPr>
              <w:t>38°43′</w:t>
            </w:r>
          </w:p>
          <w:p>
            <w:pPr>
              <w:kinsoku w:val="0"/>
              <w:overflowPunct w:val="0"/>
              <w:autoSpaceDE w:val="0"/>
              <w:autoSpaceDN w:val="0"/>
              <w:adjustRightInd w:val="0"/>
              <w:spacing w:line="240" w:lineRule="atLeast"/>
              <w:ind w:left="180" w:firstLine="0" w:firstLineChars="0"/>
              <w:jc w:val="center"/>
              <w:rPr>
                <w:rFonts w:cs="Times New Roman"/>
                <w:kern w:val="0"/>
                <w:sz w:val="21"/>
                <w:szCs w:val="21"/>
              </w:rPr>
            </w:pPr>
            <w:r>
              <w:rPr>
                <w:rFonts w:cs="Times New Roman"/>
                <w:kern w:val="0"/>
                <w:sz w:val="21"/>
                <w:szCs w:val="21"/>
              </w:rPr>
              <w:t>52.5″</w:t>
            </w:r>
          </w:p>
        </w:tc>
        <w:tc>
          <w:tcPr>
            <w:tcW w:w="996"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一级</w:t>
            </w:r>
          </w:p>
        </w:tc>
        <w:tc>
          <w:tcPr>
            <w:tcW w:w="914"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150</w:t>
            </w:r>
          </w:p>
        </w:tc>
        <w:tc>
          <w:tcPr>
            <w:tcW w:w="900" w:type="dxa"/>
            <w:vAlign w:val="center"/>
          </w:tcPr>
          <w:p>
            <w:pPr>
              <w:kinsoku w:val="0"/>
              <w:overflowPunct w:val="0"/>
              <w:autoSpaceDE w:val="0"/>
              <w:autoSpaceDN w:val="0"/>
              <w:adjustRightInd w:val="0"/>
              <w:spacing w:line="240" w:lineRule="atLeast"/>
              <w:ind w:left="10" w:leftChars="4" w:firstLine="0" w:firstLineChars="0"/>
              <w:jc w:val="center"/>
              <w:rPr>
                <w:rFonts w:cs="Times New Roman"/>
                <w:kern w:val="0"/>
                <w:sz w:val="21"/>
                <w:szCs w:val="21"/>
              </w:rPr>
            </w:pPr>
            <w:r>
              <w:rPr>
                <w:rFonts w:cs="Times New Roman"/>
                <w:kern w:val="0"/>
                <w:sz w:val="21"/>
                <w:szCs w:val="21"/>
              </w:rPr>
              <w:t>0.014</w:t>
            </w:r>
          </w:p>
        </w:tc>
        <w:tc>
          <w:tcPr>
            <w:tcW w:w="901"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0.540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exact"/>
        </w:trPr>
        <w:tc>
          <w:tcPr>
            <w:tcW w:w="1560"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冯家川集中</w:t>
            </w:r>
          </w:p>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供水水源</w:t>
            </w:r>
          </w:p>
        </w:tc>
        <w:tc>
          <w:tcPr>
            <w:tcW w:w="1467" w:type="dxa"/>
            <w:vAlign w:val="center"/>
          </w:tcPr>
          <w:p>
            <w:pPr>
              <w:kinsoku w:val="0"/>
              <w:overflowPunct w:val="0"/>
              <w:autoSpaceDE w:val="0"/>
              <w:autoSpaceDN w:val="0"/>
              <w:adjustRightInd w:val="0"/>
              <w:spacing w:line="240" w:lineRule="atLeast"/>
              <w:ind w:left="134" w:right="108" w:firstLine="0" w:firstLineChars="0"/>
              <w:jc w:val="center"/>
              <w:rPr>
                <w:rFonts w:cs="Times New Roman"/>
                <w:kern w:val="0"/>
                <w:sz w:val="21"/>
                <w:szCs w:val="21"/>
              </w:rPr>
            </w:pPr>
            <w:r>
              <w:rPr>
                <w:rFonts w:cs="Times New Roman"/>
                <w:kern w:val="0"/>
                <w:sz w:val="21"/>
                <w:szCs w:val="21"/>
              </w:rPr>
              <w:t>DA0000140 931203G10</w:t>
            </w:r>
          </w:p>
        </w:tc>
        <w:tc>
          <w:tcPr>
            <w:tcW w:w="518" w:type="dxa"/>
            <w:vAlign w:val="center"/>
          </w:tcPr>
          <w:p>
            <w:pPr>
              <w:kinsoku w:val="0"/>
              <w:overflowPunct w:val="0"/>
              <w:autoSpaceDE w:val="0"/>
              <w:autoSpaceDN w:val="0"/>
              <w:adjustRightInd w:val="0"/>
              <w:spacing w:line="240" w:lineRule="atLeast"/>
              <w:ind w:right="5" w:firstLine="0" w:firstLineChars="0"/>
              <w:jc w:val="center"/>
              <w:rPr>
                <w:rFonts w:cs="Times New Roman"/>
                <w:kern w:val="0"/>
                <w:sz w:val="21"/>
                <w:szCs w:val="21"/>
              </w:rPr>
            </w:pPr>
            <w:r>
              <w:rPr>
                <w:rFonts w:cs="Times New Roman"/>
                <w:kern w:val="0"/>
                <w:sz w:val="21"/>
                <w:szCs w:val="21"/>
              </w:rPr>
              <w:t>1#</w:t>
            </w:r>
          </w:p>
        </w:tc>
        <w:tc>
          <w:tcPr>
            <w:tcW w:w="819" w:type="dxa"/>
            <w:vAlign w:val="center"/>
          </w:tcPr>
          <w:p>
            <w:pPr>
              <w:autoSpaceDE w:val="0"/>
              <w:autoSpaceDN w:val="0"/>
              <w:adjustRightInd w:val="0"/>
              <w:spacing w:line="240" w:lineRule="atLeast"/>
              <w:ind w:firstLine="0" w:firstLineChars="0"/>
              <w:jc w:val="center"/>
              <w:rPr>
                <w:rFonts w:cs="Times New Roman"/>
                <w:kern w:val="0"/>
                <w:sz w:val="21"/>
                <w:szCs w:val="21"/>
              </w:rPr>
            </w:pPr>
          </w:p>
        </w:tc>
        <w:tc>
          <w:tcPr>
            <w:tcW w:w="1126"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裂隙下降</w:t>
            </w:r>
          </w:p>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泉</w:t>
            </w:r>
          </w:p>
        </w:tc>
        <w:tc>
          <w:tcPr>
            <w:tcW w:w="653" w:type="dxa"/>
            <w:vAlign w:val="center"/>
          </w:tcPr>
          <w:p>
            <w:pPr>
              <w:autoSpaceDE w:val="0"/>
              <w:autoSpaceDN w:val="0"/>
              <w:adjustRightInd w:val="0"/>
              <w:spacing w:line="240" w:lineRule="atLeast"/>
              <w:ind w:firstLine="0" w:firstLineChars="0"/>
              <w:jc w:val="center"/>
              <w:rPr>
                <w:rFonts w:cs="Times New Roman"/>
                <w:kern w:val="0"/>
                <w:sz w:val="21"/>
                <w:szCs w:val="21"/>
              </w:rPr>
            </w:pPr>
          </w:p>
        </w:tc>
        <w:tc>
          <w:tcPr>
            <w:tcW w:w="655" w:type="dxa"/>
            <w:vAlign w:val="center"/>
          </w:tcPr>
          <w:p>
            <w:pPr>
              <w:autoSpaceDE w:val="0"/>
              <w:autoSpaceDN w:val="0"/>
              <w:adjustRightInd w:val="0"/>
              <w:spacing w:line="240" w:lineRule="atLeast"/>
              <w:ind w:firstLine="0" w:firstLineChars="0"/>
              <w:jc w:val="center"/>
              <w:rPr>
                <w:rFonts w:cs="Times New Roman"/>
                <w:kern w:val="0"/>
                <w:sz w:val="21"/>
                <w:szCs w:val="21"/>
              </w:rPr>
            </w:pPr>
          </w:p>
        </w:tc>
        <w:tc>
          <w:tcPr>
            <w:tcW w:w="807" w:type="dxa"/>
            <w:vAlign w:val="center"/>
          </w:tcPr>
          <w:p>
            <w:pPr>
              <w:kinsoku w:val="0"/>
              <w:overflowPunct w:val="0"/>
              <w:autoSpaceDE w:val="0"/>
              <w:autoSpaceDN w:val="0"/>
              <w:adjustRightInd w:val="0"/>
              <w:spacing w:line="240" w:lineRule="atLeast"/>
              <w:ind w:left="239" w:firstLine="0" w:firstLineChars="0"/>
              <w:jc w:val="center"/>
              <w:rPr>
                <w:rFonts w:cs="Times New Roman"/>
                <w:kern w:val="0"/>
                <w:sz w:val="21"/>
                <w:szCs w:val="21"/>
              </w:rPr>
            </w:pPr>
            <w:r>
              <w:rPr>
                <w:rFonts w:cs="Times New Roman"/>
                <w:kern w:val="0"/>
                <w:sz w:val="21"/>
                <w:szCs w:val="21"/>
              </w:rPr>
              <w:t>985</w:t>
            </w:r>
          </w:p>
        </w:tc>
        <w:tc>
          <w:tcPr>
            <w:tcW w:w="847" w:type="dxa"/>
            <w:vAlign w:val="center"/>
          </w:tcPr>
          <w:p>
            <w:pPr>
              <w:autoSpaceDE w:val="0"/>
              <w:autoSpaceDN w:val="0"/>
              <w:adjustRightInd w:val="0"/>
              <w:spacing w:line="240" w:lineRule="atLeast"/>
              <w:ind w:firstLine="0" w:firstLineChars="0"/>
              <w:jc w:val="center"/>
              <w:rPr>
                <w:rFonts w:cs="Times New Roman"/>
                <w:kern w:val="0"/>
                <w:sz w:val="21"/>
                <w:szCs w:val="21"/>
              </w:rPr>
            </w:pPr>
          </w:p>
        </w:tc>
        <w:tc>
          <w:tcPr>
            <w:tcW w:w="638" w:type="dxa"/>
            <w:vAlign w:val="center"/>
          </w:tcPr>
          <w:p>
            <w:pPr>
              <w:autoSpaceDE w:val="0"/>
              <w:autoSpaceDN w:val="0"/>
              <w:adjustRightInd w:val="0"/>
              <w:spacing w:line="240" w:lineRule="atLeast"/>
              <w:ind w:firstLine="0" w:firstLineChars="0"/>
              <w:jc w:val="center"/>
              <w:rPr>
                <w:rFonts w:cs="Times New Roman"/>
                <w:kern w:val="0"/>
                <w:sz w:val="21"/>
                <w:szCs w:val="21"/>
              </w:rPr>
            </w:pPr>
          </w:p>
        </w:tc>
        <w:tc>
          <w:tcPr>
            <w:tcW w:w="922" w:type="dxa"/>
            <w:vAlign w:val="center"/>
          </w:tcPr>
          <w:p>
            <w:pPr>
              <w:kinsoku w:val="0"/>
              <w:overflowPunct w:val="0"/>
              <w:autoSpaceDE w:val="0"/>
              <w:autoSpaceDN w:val="0"/>
              <w:adjustRightInd w:val="0"/>
              <w:spacing w:line="240" w:lineRule="atLeast"/>
              <w:ind w:left="136" w:firstLine="0" w:firstLineChars="0"/>
              <w:jc w:val="center"/>
              <w:rPr>
                <w:rFonts w:cs="Times New Roman"/>
                <w:kern w:val="0"/>
                <w:sz w:val="21"/>
                <w:szCs w:val="21"/>
              </w:rPr>
            </w:pPr>
            <w:r>
              <w:rPr>
                <w:rFonts w:cs="Times New Roman"/>
                <w:kern w:val="0"/>
                <w:sz w:val="21"/>
                <w:szCs w:val="21"/>
              </w:rPr>
              <w:t>111°08′</w:t>
            </w:r>
          </w:p>
          <w:p>
            <w:pPr>
              <w:kinsoku w:val="0"/>
              <w:overflowPunct w:val="0"/>
              <w:autoSpaceDE w:val="0"/>
              <w:autoSpaceDN w:val="0"/>
              <w:adjustRightInd w:val="0"/>
              <w:spacing w:line="240" w:lineRule="atLeast"/>
              <w:ind w:left="228" w:firstLine="0" w:firstLineChars="0"/>
              <w:jc w:val="center"/>
              <w:rPr>
                <w:rFonts w:cs="Times New Roman"/>
                <w:kern w:val="0"/>
                <w:sz w:val="21"/>
                <w:szCs w:val="21"/>
              </w:rPr>
            </w:pPr>
            <w:r>
              <w:rPr>
                <w:rFonts w:cs="Times New Roman"/>
                <w:kern w:val="0"/>
                <w:sz w:val="21"/>
                <w:szCs w:val="21"/>
              </w:rPr>
              <w:t>27.2″</w:t>
            </w:r>
          </w:p>
        </w:tc>
        <w:tc>
          <w:tcPr>
            <w:tcW w:w="826" w:type="dxa"/>
            <w:vAlign w:val="center"/>
          </w:tcPr>
          <w:p>
            <w:pPr>
              <w:kinsoku w:val="0"/>
              <w:overflowPunct w:val="0"/>
              <w:autoSpaceDE w:val="0"/>
              <w:autoSpaceDN w:val="0"/>
              <w:adjustRightInd w:val="0"/>
              <w:spacing w:line="240" w:lineRule="atLeast"/>
              <w:ind w:left="132" w:firstLine="0" w:firstLineChars="0"/>
              <w:jc w:val="center"/>
              <w:rPr>
                <w:rFonts w:cs="Times New Roman"/>
                <w:kern w:val="0"/>
                <w:sz w:val="21"/>
                <w:szCs w:val="21"/>
              </w:rPr>
            </w:pPr>
            <w:r>
              <w:rPr>
                <w:rFonts w:cs="Times New Roman"/>
                <w:kern w:val="0"/>
                <w:sz w:val="21"/>
                <w:szCs w:val="21"/>
              </w:rPr>
              <w:t>39°04′</w:t>
            </w:r>
          </w:p>
          <w:p>
            <w:pPr>
              <w:kinsoku w:val="0"/>
              <w:overflowPunct w:val="0"/>
              <w:autoSpaceDE w:val="0"/>
              <w:autoSpaceDN w:val="0"/>
              <w:adjustRightInd w:val="0"/>
              <w:spacing w:line="240" w:lineRule="atLeast"/>
              <w:ind w:left="184" w:firstLine="0" w:firstLineChars="0"/>
              <w:jc w:val="center"/>
              <w:rPr>
                <w:rFonts w:cs="Times New Roman"/>
                <w:kern w:val="0"/>
                <w:sz w:val="21"/>
                <w:szCs w:val="21"/>
              </w:rPr>
            </w:pPr>
            <w:r>
              <w:rPr>
                <w:rFonts w:cs="Times New Roman"/>
                <w:kern w:val="0"/>
                <w:sz w:val="21"/>
                <w:szCs w:val="21"/>
              </w:rPr>
              <w:t>11.5″</w:t>
            </w:r>
          </w:p>
        </w:tc>
        <w:tc>
          <w:tcPr>
            <w:tcW w:w="996"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一级</w:t>
            </w:r>
          </w:p>
        </w:tc>
        <w:tc>
          <w:tcPr>
            <w:tcW w:w="914"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50</w:t>
            </w:r>
          </w:p>
        </w:tc>
        <w:tc>
          <w:tcPr>
            <w:tcW w:w="900" w:type="dxa"/>
            <w:vAlign w:val="center"/>
          </w:tcPr>
          <w:p>
            <w:pPr>
              <w:kinsoku w:val="0"/>
              <w:overflowPunct w:val="0"/>
              <w:autoSpaceDE w:val="0"/>
              <w:autoSpaceDN w:val="0"/>
              <w:adjustRightInd w:val="0"/>
              <w:spacing w:line="240" w:lineRule="atLeast"/>
              <w:ind w:left="10" w:leftChars="4" w:firstLine="0" w:firstLineChars="0"/>
              <w:jc w:val="center"/>
              <w:rPr>
                <w:rFonts w:cs="Times New Roman"/>
                <w:kern w:val="0"/>
                <w:sz w:val="21"/>
                <w:szCs w:val="21"/>
              </w:rPr>
            </w:pPr>
            <w:r>
              <w:rPr>
                <w:rFonts w:cs="Times New Roman"/>
                <w:kern w:val="0"/>
                <w:sz w:val="21"/>
                <w:szCs w:val="21"/>
              </w:rPr>
              <w:t>0.008</w:t>
            </w:r>
          </w:p>
        </w:tc>
        <w:tc>
          <w:tcPr>
            <w:tcW w:w="901" w:type="dxa"/>
            <w:vAlign w:val="center"/>
          </w:tcPr>
          <w:p>
            <w:pPr>
              <w:kinsoku w:val="0"/>
              <w:overflowPunct w:val="0"/>
              <w:autoSpaceDE w:val="0"/>
              <w:autoSpaceDN w:val="0"/>
              <w:adjustRightInd w:val="0"/>
              <w:spacing w:line="240" w:lineRule="atLeast"/>
              <w:ind w:firstLine="0" w:firstLineChars="0"/>
              <w:jc w:val="center"/>
              <w:rPr>
                <w:rFonts w:cs="Times New Roman"/>
                <w:kern w:val="0"/>
                <w:sz w:val="21"/>
                <w:szCs w:val="21"/>
              </w:rPr>
            </w:pPr>
            <w:r>
              <w:rPr>
                <w:rFonts w:cs="Times New Roman"/>
                <w:kern w:val="0"/>
                <w:sz w:val="21"/>
                <w:szCs w:val="21"/>
              </w:rPr>
              <w:t>0.314</w:t>
            </w:r>
          </w:p>
        </w:tc>
      </w:tr>
    </w:tbl>
    <w:p>
      <w:pPr>
        <w:spacing w:line="240" w:lineRule="auto"/>
        <w:ind w:firstLine="420"/>
        <w:jc w:val="center"/>
        <w:rPr>
          <w:rFonts w:eastAsia="黑体" w:cs="Times New Roman"/>
          <w:sz w:val="21"/>
          <w:szCs w:val="21"/>
        </w:rPr>
        <w:sectPr>
          <w:pgSz w:w="16838" w:h="11906" w:orient="landscape"/>
          <w:pgMar w:top="1531" w:right="1361" w:bottom="1531" w:left="1361" w:header="851" w:footer="992" w:gutter="0"/>
          <w:cols w:space="425" w:num="1"/>
          <w:docGrid w:type="lines" w:linePitch="326" w:charSpace="0"/>
        </w:sectPr>
      </w:pPr>
    </w:p>
    <w:p>
      <w:pPr>
        <w:spacing w:line="240" w:lineRule="auto"/>
        <w:ind w:firstLine="420"/>
        <w:jc w:val="center"/>
        <w:rPr>
          <w:rFonts w:eastAsia="黑体" w:cs="Times New Roman"/>
          <w:sz w:val="21"/>
          <w:szCs w:val="21"/>
        </w:rPr>
      </w:pPr>
    </w:p>
    <w:p>
      <w:pPr>
        <w:pStyle w:val="8"/>
        <w:rPr>
          <w:rFonts w:ascii="Times New Roman" w:hAnsi="Times New Roman" w:cs="Times New Roman"/>
        </w:rPr>
      </w:pPr>
      <w:r>
        <w:rPr>
          <w:rFonts w:ascii="Times New Roman" w:hAnsi="Times New Roman" w:cs="Times New Roman"/>
        </w:rPr>
        <w:t>2.3.2 地表水环境现状</w:t>
      </w:r>
    </w:p>
    <w:p>
      <w:pPr>
        <w:pStyle w:val="9"/>
      </w:pPr>
      <w:r>
        <w:t>2.3.1 水环境功能区划</w:t>
      </w:r>
    </w:p>
    <w:p>
      <w:pPr>
        <w:ind w:firstLine="480"/>
        <w:rPr>
          <w:rFonts w:cs="Times New Roman"/>
        </w:rPr>
      </w:pPr>
      <w:r>
        <w:rPr>
          <w:rFonts w:hint="eastAsia" w:cs="Times New Roman"/>
        </w:rPr>
        <w:t>保德县的河流均属黄河流域黄河水系。全县境内较大的黄河一级支流有大河沟、暖泉沟、黄石崖沟、永泉沟、卢子沟、腰庄河、梅花沟、朱家川河、宝寺河、寺沟河、寨沟河、化树塔河、小河沟、安家山河、武家沟河、黑土峁沟、龙驼沟、岚漪河18条流域，其中流域面积在50km</w:t>
      </w:r>
      <w:r>
        <w:rPr>
          <w:rFonts w:hint="eastAsia" w:cs="Times New Roman"/>
          <w:vertAlign w:val="superscript"/>
        </w:rPr>
        <w:t>2</w:t>
      </w:r>
      <w:r>
        <w:rPr>
          <w:rFonts w:hint="eastAsia" w:cs="Times New Roman"/>
        </w:rPr>
        <w:t>以上和小于50 km</w:t>
      </w:r>
      <w:r>
        <w:rPr>
          <w:rFonts w:hint="eastAsia" w:cs="Times New Roman"/>
          <w:vertAlign w:val="superscript"/>
        </w:rPr>
        <w:t>2</w:t>
      </w:r>
      <w:r>
        <w:rPr>
          <w:rFonts w:hint="eastAsia" w:cs="Times New Roman"/>
        </w:rPr>
        <w:t>的重点河流有朱家川、安家山、小河沟、梅花沟、寺沟河、腰庄河、黄石崖沟流域。全县境内年平均降雨地表径流量为2481万m³，年清泉水流量为1450万m³，上述河流都是由东向西，最后注入黄河。黄河流经本县边缘，经义门、东关、杨家湾、韩家川、林遮峪、冯家川6个乡（镇）于冯家川村南流入兴县地界，境内干流长度63km，平均比降1/1000，平均流量300—400 m³/s。</w:t>
      </w:r>
    </w:p>
    <w:p>
      <w:pPr>
        <w:ind w:firstLine="480"/>
        <w:rPr>
          <w:rFonts w:cs="Times New Roman"/>
        </w:rPr>
      </w:pPr>
      <w:r>
        <w:rPr>
          <w:rFonts w:cs="Times New Roman"/>
        </w:rPr>
        <w:t>根据《山西省地表水水环境功能区划》（DB 14/67-2019），保德县内主要的河流为</w:t>
      </w:r>
      <w:r>
        <w:rPr>
          <w:rFonts w:hint="eastAsia" w:cs="Times New Roman"/>
        </w:rPr>
        <w:t>朱家川河，考核断面为花园子，考核目标为Ⅳ类水质。保德县地表水水环境功能区划详见附图9。</w:t>
      </w:r>
    </w:p>
    <w:p>
      <w:pPr>
        <w:pStyle w:val="9"/>
      </w:pPr>
      <w:r>
        <w:t>2.3.2 水环境质量现状</w:t>
      </w:r>
    </w:p>
    <w:p>
      <w:pPr>
        <w:ind w:firstLine="480"/>
        <w:rPr>
          <w:rFonts w:cs="Times New Roman"/>
        </w:rPr>
      </w:pPr>
      <w:r>
        <w:rPr>
          <w:rFonts w:cs="Times New Roman"/>
        </w:rPr>
        <w:t>保德县韩家川断面、花园子断面，上述断面执行《地表水环境质量标准》-（GB3838-2002）表1中IV类标准限值。2019年1~12月对上述断面进行了水质监测，检测结果见表2-6</w:t>
      </w:r>
    </w:p>
    <w:p>
      <w:pPr>
        <w:pStyle w:val="16"/>
        <w:ind w:firstLine="420"/>
        <w:rPr>
          <w:rFonts w:eastAsia="黑体" w:cs="Times New Roman"/>
          <w:b w:val="0"/>
          <w:bCs/>
        </w:rPr>
      </w:pPr>
      <w:r>
        <w:rPr>
          <w:rFonts w:eastAsia="黑体" w:cs="Times New Roman"/>
          <w:b w:val="0"/>
          <w:bCs/>
        </w:rPr>
        <w:t>表2-6  2019年韩家川断面、花园子断面水汇总表</w:t>
      </w:r>
    </w:p>
    <w:tbl>
      <w:tblPr>
        <w:tblStyle w:val="29"/>
        <w:tblW w:w="513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3"/>
        <w:gridCol w:w="583"/>
        <w:gridCol w:w="581"/>
        <w:gridCol w:w="583"/>
        <w:gridCol w:w="581"/>
        <w:gridCol w:w="582"/>
        <w:gridCol w:w="580"/>
        <w:gridCol w:w="582"/>
        <w:gridCol w:w="580"/>
        <w:gridCol w:w="582"/>
        <w:gridCol w:w="580"/>
        <w:gridCol w:w="582"/>
        <w:gridCol w:w="580"/>
        <w:gridCol w:w="582"/>
        <w:gridCol w:w="580"/>
        <w:gridCol w:w="5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626" w:type="pct"/>
            <w:gridSpan w:val="2"/>
            <w:shd w:val="clear" w:color="auto" w:fill="auto"/>
            <w:vAlign w:val="center"/>
          </w:tcPr>
          <w:p>
            <w:pPr>
              <w:spacing w:line="240" w:lineRule="auto"/>
              <w:ind w:firstLine="0" w:firstLineChars="0"/>
              <w:jc w:val="center"/>
              <w:rPr>
                <w:rFonts w:eastAsia="黑体" w:cs="Times New Roman"/>
                <w:sz w:val="15"/>
                <w:szCs w:val="15"/>
              </w:rPr>
            </w:pPr>
            <w:r>
              <w:rPr>
                <w:rFonts w:eastAsia="黑体" w:cs="Times New Roman"/>
                <w:sz w:val="15"/>
                <w:szCs w:val="15"/>
              </w:rPr>
              <w:t>采样点、项目</w:t>
            </w:r>
          </w:p>
        </w:tc>
        <w:tc>
          <w:tcPr>
            <w:tcW w:w="312" w:type="pct"/>
            <w:shd w:val="clear" w:color="auto" w:fill="auto"/>
            <w:vAlign w:val="center"/>
          </w:tcPr>
          <w:p>
            <w:pPr>
              <w:spacing w:line="240" w:lineRule="auto"/>
              <w:ind w:firstLine="0" w:firstLineChars="0"/>
              <w:jc w:val="center"/>
              <w:rPr>
                <w:rFonts w:eastAsia="黑体" w:cs="Times New Roman"/>
                <w:sz w:val="15"/>
                <w:szCs w:val="15"/>
              </w:rPr>
            </w:pPr>
            <w:r>
              <w:rPr>
                <w:rFonts w:eastAsia="黑体" w:cs="Times New Roman"/>
                <w:sz w:val="15"/>
                <w:szCs w:val="15"/>
              </w:rPr>
              <w:t>标准值</w:t>
            </w:r>
          </w:p>
        </w:tc>
        <w:tc>
          <w:tcPr>
            <w:tcW w:w="313" w:type="pct"/>
            <w:shd w:val="clear" w:color="auto" w:fill="auto"/>
            <w:vAlign w:val="center"/>
          </w:tcPr>
          <w:p>
            <w:pPr>
              <w:spacing w:line="240" w:lineRule="auto"/>
              <w:ind w:firstLine="0" w:firstLineChars="0"/>
              <w:jc w:val="center"/>
              <w:rPr>
                <w:rFonts w:eastAsia="黑体" w:cs="Times New Roman"/>
                <w:sz w:val="15"/>
                <w:szCs w:val="15"/>
              </w:rPr>
            </w:pPr>
            <w:r>
              <w:rPr>
                <w:rFonts w:eastAsia="黑体" w:cs="Times New Roman"/>
                <w:sz w:val="15"/>
                <w:szCs w:val="15"/>
              </w:rPr>
              <w:t>1月</w:t>
            </w:r>
          </w:p>
        </w:tc>
        <w:tc>
          <w:tcPr>
            <w:tcW w:w="312" w:type="pct"/>
            <w:shd w:val="clear" w:color="auto" w:fill="auto"/>
            <w:vAlign w:val="center"/>
          </w:tcPr>
          <w:p>
            <w:pPr>
              <w:spacing w:line="240" w:lineRule="auto"/>
              <w:ind w:firstLine="0" w:firstLineChars="0"/>
              <w:jc w:val="center"/>
              <w:rPr>
                <w:rFonts w:eastAsia="黑体" w:cs="Times New Roman"/>
                <w:sz w:val="15"/>
                <w:szCs w:val="15"/>
              </w:rPr>
            </w:pPr>
            <w:r>
              <w:rPr>
                <w:rFonts w:eastAsia="黑体" w:cs="Times New Roman"/>
                <w:sz w:val="15"/>
                <w:szCs w:val="15"/>
              </w:rPr>
              <w:t>2月</w:t>
            </w:r>
          </w:p>
        </w:tc>
        <w:tc>
          <w:tcPr>
            <w:tcW w:w="313" w:type="pct"/>
            <w:shd w:val="clear" w:color="auto" w:fill="auto"/>
            <w:vAlign w:val="center"/>
          </w:tcPr>
          <w:p>
            <w:pPr>
              <w:spacing w:line="240" w:lineRule="auto"/>
              <w:ind w:firstLine="0" w:firstLineChars="0"/>
              <w:jc w:val="center"/>
              <w:rPr>
                <w:rFonts w:eastAsia="黑体" w:cs="Times New Roman"/>
                <w:sz w:val="15"/>
                <w:szCs w:val="15"/>
              </w:rPr>
            </w:pPr>
            <w:r>
              <w:rPr>
                <w:rFonts w:eastAsia="黑体" w:cs="Times New Roman"/>
                <w:sz w:val="15"/>
                <w:szCs w:val="15"/>
              </w:rPr>
              <w:t>3月</w:t>
            </w:r>
          </w:p>
        </w:tc>
        <w:tc>
          <w:tcPr>
            <w:tcW w:w="312" w:type="pct"/>
            <w:shd w:val="clear" w:color="auto" w:fill="auto"/>
            <w:vAlign w:val="center"/>
          </w:tcPr>
          <w:p>
            <w:pPr>
              <w:spacing w:line="240" w:lineRule="auto"/>
              <w:ind w:firstLine="0" w:firstLineChars="0"/>
              <w:jc w:val="center"/>
              <w:rPr>
                <w:rFonts w:eastAsia="黑体" w:cs="Times New Roman"/>
                <w:sz w:val="15"/>
                <w:szCs w:val="15"/>
              </w:rPr>
            </w:pPr>
            <w:r>
              <w:rPr>
                <w:rFonts w:eastAsia="黑体" w:cs="Times New Roman"/>
                <w:sz w:val="15"/>
                <w:szCs w:val="15"/>
              </w:rPr>
              <w:t>4月</w:t>
            </w:r>
          </w:p>
        </w:tc>
        <w:tc>
          <w:tcPr>
            <w:tcW w:w="313" w:type="pct"/>
            <w:shd w:val="clear" w:color="auto" w:fill="auto"/>
            <w:vAlign w:val="center"/>
          </w:tcPr>
          <w:p>
            <w:pPr>
              <w:spacing w:line="240" w:lineRule="auto"/>
              <w:ind w:firstLine="0" w:firstLineChars="0"/>
              <w:jc w:val="center"/>
              <w:rPr>
                <w:rFonts w:eastAsia="黑体" w:cs="Times New Roman"/>
                <w:sz w:val="15"/>
                <w:szCs w:val="15"/>
              </w:rPr>
            </w:pPr>
            <w:r>
              <w:rPr>
                <w:rFonts w:eastAsia="黑体" w:cs="Times New Roman"/>
                <w:sz w:val="15"/>
                <w:szCs w:val="15"/>
              </w:rPr>
              <w:t>5月</w:t>
            </w:r>
          </w:p>
        </w:tc>
        <w:tc>
          <w:tcPr>
            <w:tcW w:w="312" w:type="pct"/>
            <w:shd w:val="clear" w:color="auto" w:fill="auto"/>
            <w:vAlign w:val="center"/>
          </w:tcPr>
          <w:p>
            <w:pPr>
              <w:spacing w:line="240" w:lineRule="auto"/>
              <w:ind w:firstLine="0" w:firstLineChars="0"/>
              <w:jc w:val="center"/>
              <w:rPr>
                <w:rFonts w:eastAsia="黑体" w:cs="Times New Roman"/>
                <w:sz w:val="15"/>
                <w:szCs w:val="15"/>
              </w:rPr>
            </w:pPr>
            <w:r>
              <w:rPr>
                <w:rFonts w:eastAsia="黑体" w:cs="Times New Roman"/>
                <w:sz w:val="15"/>
                <w:szCs w:val="15"/>
              </w:rPr>
              <w:t>6月</w:t>
            </w:r>
          </w:p>
        </w:tc>
        <w:tc>
          <w:tcPr>
            <w:tcW w:w="313" w:type="pct"/>
            <w:shd w:val="clear" w:color="auto" w:fill="auto"/>
            <w:vAlign w:val="center"/>
          </w:tcPr>
          <w:p>
            <w:pPr>
              <w:spacing w:line="240" w:lineRule="auto"/>
              <w:ind w:firstLine="0" w:firstLineChars="0"/>
              <w:jc w:val="center"/>
              <w:rPr>
                <w:rFonts w:eastAsia="黑体" w:cs="Times New Roman"/>
                <w:sz w:val="15"/>
                <w:szCs w:val="15"/>
              </w:rPr>
            </w:pPr>
            <w:r>
              <w:rPr>
                <w:rFonts w:eastAsia="黑体" w:cs="Times New Roman"/>
                <w:sz w:val="15"/>
                <w:szCs w:val="15"/>
              </w:rPr>
              <w:t>7月</w:t>
            </w:r>
          </w:p>
        </w:tc>
        <w:tc>
          <w:tcPr>
            <w:tcW w:w="312" w:type="pct"/>
            <w:vAlign w:val="center"/>
          </w:tcPr>
          <w:p>
            <w:pPr>
              <w:spacing w:line="240" w:lineRule="auto"/>
              <w:ind w:firstLine="0" w:firstLineChars="0"/>
              <w:jc w:val="center"/>
              <w:rPr>
                <w:rFonts w:eastAsia="黑体" w:cs="Times New Roman"/>
                <w:sz w:val="15"/>
                <w:szCs w:val="15"/>
              </w:rPr>
            </w:pPr>
            <w:r>
              <w:rPr>
                <w:rFonts w:eastAsia="黑体" w:cs="Times New Roman"/>
                <w:sz w:val="15"/>
                <w:szCs w:val="15"/>
              </w:rPr>
              <w:t>8月</w:t>
            </w:r>
          </w:p>
        </w:tc>
        <w:tc>
          <w:tcPr>
            <w:tcW w:w="313" w:type="pct"/>
            <w:vAlign w:val="center"/>
          </w:tcPr>
          <w:p>
            <w:pPr>
              <w:spacing w:line="240" w:lineRule="auto"/>
              <w:ind w:firstLine="0" w:firstLineChars="0"/>
              <w:jc w:val="center"/>
              <w:rPr>
                <w:rFonts w:eastAsia="黑体" w:cs="Times New Roman"/>
                <w:sz w:val="15"/>
                <w:szCs w:val="15"/>
              </w:rPr>
            </w:pPr>
            <w:r>
              <w:rPr>
                <w:rFonts w:eastAsia="黑体" w:cs="Times New Roman"/>
                <w:sz w:val="15"/>
                <w:szCs w:val="15"/>
              </w:rPr>
              <w:t>9月</w:t>
            </w:r>
          </w:p>
        </w:tc>
        <w:tc>
          <w:tcPr>
            <w:tcW w:w="312" w:type="pct"/>
            <w:vAlign w:val="center"/>
          </w:tcPr>
          <w:p>
            <w:pPr>
              <w:spacing w:line="240" w:lineRule="auto"/>
              <w:ind w:firstLine="0" w:firstLineChars="0"/>
              <w:jc w:val="center"/>
              <w:rPr>
                <w:rFonts w:eastAsia="黑体" w:cs="Times New Roman"/>
                <w:sz w:val="15"/>
                <w:szCs w:val="15"/>
              </w:rPr>
            </w:pPr>
            <w:r>
              <w:rPr>
                <w:rFonts w:eastAsia="黑体" w:cs="Times New Roman"/>
                <w:sz w:val="15"/>
                <w:szCs w:val="15"/>
              </w:rPr>
              <w:t>10月</w:t>
            </w:r>
          </w:p>
        </w:tc>
        <w:tc>
          <w:tcPr>
            <w:tcW w:w="313" w:type="pct"/>
            <w:vAlign w:val="center"/>
          </w:tcPr>
          <w:p>
            <w:pPr>
              <w:spacing w:line="240" w:lineRule="auto"/>
              <w:ind w:firstLine="0" w:firstLineChars="0"/>
              <w:jc w:val="center"/>
              <w:rPr>
                <w:rFonts w:eastAsia="黑体" w:cs="Times New Roman"/>
                <w:sz w:val="15"/>
                <w:szCs w:val="15"/>
              </w:rPr>
            </w:pPr>
            <w:r>
              <w:rPr>
                <w:rFonts w:eastAsia="黑体" w:cs="Times New Roman"/>
                <w:sz w:val="15"/>
                <w:szCs w:val="15"/>
              </w:rPr>
              <w:t>11月</w:t>
            </w:r>
          </w:p>
        </w:tc>
        <w:tc>
          <w:tcPr>
            <w:tcW w:w="312" w:type="pct"/>
            <w:vAlign w:val="center"/>
          </w:tcPr>
          <w:p>
            <w:pPr>
              <w:spacing w:line="240" w:lineRule="auto"/>
              <w:ind w:firstLine="0" w:firstLineChars="0"/>
              <w:jc w:val="center"/>
              <w:rPr>
                <w:rFonts w:eastAsia="黑体" w:cs="Times New Roman"/>
                <w:sz w:val="15"/>
                <w:szCs w:val="15"/>
              </w:rPr>
            </w:pPr>
            <w:r>
              <w:rPr>
                <w:rFonts w:eastAsia="黑体" w:cs="Times New Roman"/>
                <w:sz w:val="15"/>
                <w:szCs w:val="15"/>
              </w:rPr>
              <w:t>12月</w:t>
            </w:r>
          </w:p>
        </w:tc>
        <w:tc>
          <w:tcPr>
            <w:tcW w:w="311" w:type="pct"/>
            <w:shd w:val="clear" w:color="auto" w:fill="auto"/>
            <w:vAlign w:val="center"/>
          </w:tcPr>
          <w:p>
            <w:pPr>
              <w:spacing w:line="240" w:lineRule="auto"/>
              <w:ind w:firstLine="0" w:firstLineChars="0"/>
              <w:jc w:val="center"/>
              <w:rPr>
                <w:rFonts w:eastAsia="黑体" w:cs="Times New Roman"/>
                <w:sz w:val="15"/>
                <w:szCs w:val="15"/>
              </w:rPr>
            </w:pPr>
            <w:r>
              <w:rPr>
                <w:rFonts w:eastAsia="黑体" w:cs="Times New Roman"/>
                <w:sz w:val="15"/>
                <w:szCs w:val="15"/>
              </w:rPr>
              <w:t>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313" w:type="pct"/>
            <w:vMerge w:val="restart"/>
            <w:shd w:val="clear" w:color="auto" w:fill="auto"/>
            <w:vAlign w:val="center"/>
          </w:tcPr>
          <w:p>
            <w:pPr>
              <w:spacing w:line="240" w:lineRule="auto"/>
              <w:ind w:firstLine="0" w:firstLineChars="0"/>
              <w:jc w:val="center"/>
              <w:rPr>
                <w:rFonts w:cs="Times New Roman"/>
                <w:sz w:val="15"/>
                <w:szCs w:val="15"/>
              </w:rPr>
            </w:pPr>
            <w:r>
              <w:rPr>
                <w:rFonts w:cs="Times New Roman"/>
                <w:sz w:val="15"/>
                <w:szCs w:val="15"/>
              </w:rPr>
              <w:t>花园子</w:t>
            </w:r>
          </w:p>
        </w:tc>
        <w:tc>
          <w:tcPr>
            <w:tcW w:w="313" w:type="pct"/>
            <w:shd w:val="clear" w:color="auto" w:fill="auto"/>
            <w:vAlign w:val="center"/>
          </w:tcPr>
          <w:p>
            <w:pPr>
              <w:spacing w:line="240" w:lineRule="auto"/>
              <w:ind w:firstLine="0" w:firstLineChars="0"/>
              <w:jc w:val="center"/>
              <w:rPr>
                <w:rFonts w:cs="Times New Roman"/>
                <w:sz w:val="15"/>
                <w:szCs w:val="15"/>
              </w:rPr>
            </w:pPr>
            <w:r>
              <w:rPr>
                <w:rFonts w:cs="Times New Roman"/>
                <w:sz w:val="15"/>
                <w:szCs w:val="15"/>
              </w:rPr>
              <w:t>氨氮</w:t>
            </w:r>
          </w:p>
        </w:tc>
        <w:tc>
          <w:tcPr>
            <w:tcW w:w="312" w:type="pct"/>
            <w:shd w:val="clear" w:color="auto" w:fill="auto"/>
            <w:vAlign w:val="center"/>
          </w:tcPr>
          <w:p>
            <w:pPr>
              <w:spacing w:line="240" w:lineRule="auto"/>
              <w:ind w:firstLine="0" w:firstLineChars="0"/>
              <w:jc w:val="center"/>
              <w:rPr>
                <w:rFonts w:cs="Times New Roman"/>
                <w:sz w:val="15"/>
                <w:szCs w:val="15"/>
              </w:rPr>
            </w:pPr>
            <w:r>
              <w:rPr>
                <w:rFonts w:cs="Times New Roman"/>
                <w:sz w:val="15"/>
                <w:szCs w:val="15"/>
              </w:rPr>
              <w:t>1.5</w:t>
            </w:r>
          </w:p>
        </w:tc>
        <w:tc>
          <w:tcPr>
            <w:tcW w:w="313"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1.20</w:t>
            </w:r>
          </w:p>
        </w:tc>
        <w:tc>
          <w:tcPr>
            <w:tcW w:w="312"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0.801</w:t>
            </w:r>
          </w:p>
        </w:tc>
        <w:tc>
          <w:tcPr>
            <w:tcW w:w="313"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0.153</w:t>
            </w:r>
          </w:p>
        </w:tc>
        <w:tc>
          <w:tcPr>
            <w:tcW w:w="312"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0.831</w:t>
            </w:r>
          </w:p>
        </w:tc>
        <w:tc>
          <w:tcPr>
            <w:tcW w:w="313"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0.122</w:t>
            </w:r>
          </w:p>
        </w:tc>
        <w:tc>
          <w:tcPr>
            <w:tcW w:w="312"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1.40</w:t>
            </w:r>
          </w:p>
        </w:tc>
        <w:tc>
          <w:tcPr>
            <w:tcW w:w="313"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1.07</w:t>
            </w:r>
          </w:p>
        </w:tc>
        <w:tc>
          <w:tcPr>
            <w:tcW w:w="312" w:type="pct"/>
            <w:vAlign w:val="center"/>
          </w:tcPr>
          <w:p>
            <w:pPr>
              <w:spacing w:line="240" w:lineRule="auto"/>
              <w:ind w:firstLine="0" w:firstLineChars="0"/>
              <w:jc w:val="center"/>
              <w:rPr>
                <w:rFonts w:cs="Times New Roman"/>
                <w:bCs/>
                <w:sz w:val="15"/>
                <w:szCs w:val="15"/>
              </w:rPr>
            </w:pPr>
            <w:r>
              <w:rPr>
                <w:rFonts w:cs="Times New Roman"/>
                <w:bCs/>
                <w:sz w:val="15"/>
                <w:szCs w:val="15"/>
              </w:rPr>
              <w:t>0.808</w:t>
            </w:r>
          </w:p>
        </w:tc>
        <w:tc>
          <w:tcPr>
            <w:tcW w:w="313" w:type="pct"/>
            <w:vAlign w:val="center"/>
          </w:tcPr>
          <w:p>
            <w:pPr>
              <w:spacing w:line="240" w:lineRule="auto"/>
              <w:ind w:firstLine="0" w:firstLineChars="0"/>
              <w:jc w:val="center"/>
              <w:rPr>
                <w:rFonts w:cs="Times New Roman"/>
                <w:bCs/>
                <w:sz w:val="15"/>
                <w:szCs w:val="15"/>
              </w:rPr>
            </w:pPr>
            <w:r>
              <w:rPr>
                <w:rFonts w:cs="Times New Roman"/>
                <w:bCs/>
                <w:sz w:val="15"/>
                <w:szCs w:val="15"/>
              </w:rPr>
              <w:t>0.082</w:t>
            </w:r>
          </w:p>
        </w:tc>
        <w:tc>
          <w:tcPr>
            <w:tcW w:w="312" w:type="pct"/>
            <w:vAlign w:val="center"/>
          </w:tcPr>
          <w:p>
            <w:pPr>
              <w:spacing w:line="240" w:lineRule="auto"/>
              <w:ind w:firstLine="0" w:firstLineChars="0"/>
              <w:jc w:val="center"/>
              <w:rPr>
                <w:rFonts w:cs="Times New Roman"/>
                <w:bCs/>
                <w:sz w:val="15"/>
                <w:szCs w:val="15"/>
              </w:rPr>
            </w:pPr>
            <w:r>
              <w:rPr>
                <w:rFonts w:cs="Times New Roman"/>
                <w:bCs/>
                <w:sz w:val="15"/>
                <w:szCs w:val="15"/>
              </w:rPr>
              <w:t>0.142</w:t>
            </w:r>
          </w:p>
        </w:tc>
        <w:tc>
          <w:tcPr>
            <w:tcW w:w="313" w:type="pct"/>
            <w:vAlign w:val="center"/>
          </w:tcPr>
          <w:p>
            <w:pPr>
              <w:spacing w:line="240" w:lineRule="auto"/>
              <w:ind w:firstLine="0" w:firstLineChars="0"/>
              <w:jc w:val="center"/>
              <w:rPr>
                <w:rFonts w:cs="Times New Roman"/>
                <w:bCs/>
                <w:sz w:val="15"/>
                <w:szCs w:val="15"/>
              </w:rPr>
            </w:pPr>
            <w:r>
              <w:rPr>
                <w:rFonts w:cs="Times New Roman"/>
                <w:bCs/>
                <w:sz w:val="15"/>
                <w:szCs w:val="15"/>
              </w:rPr>
              <w:t>1.24</w:t>
            </w:r>
          </w:p>
        </w:tc>
        <w:tc>
          <w:tcPr>
            <w:tcW w:w="312" w:type="pct"/>
            <w:vAlign w:val="center"/>
          </w:tcPr>
          <w:p>
            <w:pPr>
              <w:spacing w:line="240" w:lineRule="auto"/>
              <w:ind w:firstLine="0" w:firstLineChars="0"/>
              <w:jc w:val="center"/>
              <w:rPr>
                <w:rFonts w:cs="Times New Roman"/>
                <w:bCs/>
                <w:sz w:val="15"/>
                <w:szCs w:val="15"/>
              </w:rPr>
            </w:pPr>
            <w:r>
              <w:rPr>
                <w:rFonts w:cs="Times New Roman"/>
                <w:bCs/>
                <w:sz w:val="15"/>
                <w:szCs w:val="15"/>
              </w:rPr>
              <w:t>0.613</w:t>
            </w:r>
          </w:p>
        </w:tc>
        <w:tc>
          <w:tcPr>
            <w:tcW w:w="311" w:type="pct"/>
            <w:shd w:val="clear" w:color="auto" w:fill="auto"/>
            <w:vAlign w:val="center"/>
          </w:tcPr>
          <w:p>
            <w:pPr>
              <w:spacing w:line="240" w:lineRule="auto"/>
              <w:ind w:firstLine="0" w:firstLineChars="0"/>
              <w:jc w:val="center"/>
              <w:rPr>
                <w:rFonts w:cs="Times New Roman"/>
                <w:bCs/>
                <w:sz w:val="15"/>
                <w:szCs w:val="15"/>
              </w:rPr>
            </w:pPr>
            <w:r>
              <w:rPr>
                <w:rFonts w:cs="Times New Roman"/>
                <w:sz w:val="15"/>
                <w:szCs w:val="15"/>
              </w:rPr>
              <w:t>0.705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trPr>
        <w:tc>
          <w:tcPr>
            <w:tcW w:w="313" w:type="pct"/>
            <w:vMerge w:val="continue"/>
            <w:shd w:val="clear" w:color="auto" w:fill="auto"/>
            <w:vAlign w:val="center"/>
          </w:tcPr>
          <w:p>
            <w:pPr>
              <w:spacing w:line="240" w:lineRule="auto"/>
              <w:ind w:firstLine="0" w:firstLineChars="0"/>
              <w:jc w:val="center"/>
              <w:rPr>
                <w:rFonts w:cs="Times New Roman"/>
                <w:sz w:val="15"/>
                <w:szCs w:val="15"/>
              </w:rPr>
            </w:pPr>
          </w:p>
        </w:tc>
        <w:tc>
          <w:tcPr>
            <w:tcW w:w="313" w:type="pct"/>
            <w:shd w:val="clear" w:color="auto" w:fill="auto"/>
            <w:vAlign w:val="center"/>
          </w:tcPr>
          <w:p>
            <w:pPr>
              <w:spacing w:line="240" w:lineRule="auto"/>
              <w:ind w:firstLine="0" w:firstLineChars="0"/>
              <w:jc w:val="center"/>
              <w:rPr>
                <w:rFonts w:cs="Times New Roman"/>
                <w:sz w:val="15"/>
                <w:szCs w:val="15"/>
              </w:rPr>
            </w:pPr>
            <w:r>
              <w:rPr>
                <w:rFonts w:cs="Times New Roman"/>
                <w:sz w:val="15"/>
                <w:szCs w:val="15"/>
              </w:rPr>
              <w:t>COD</w:t>
            </w:r>
          </w:p>
        </w:tc>
        <w:tc>
          <w:tcPr>
            <w:tcW w:w="312" w:type="pct"/>
            <w:shd w:val="clear" w:color="auto" w:fill="auto"/>
            <w:vAlign w:val="center"/>
          </w:tcPr>
          <w:p>
            <w:pPr>
              <w:spacing w:line="240" w:lineRule="auto"/>
              <w:ind w:firstLine="0" w:firstLineChars="0"/>
              <w:jc w:val="center"/>
              <w:rPr>
                <w:rFonts w:cs="Times New Roman"/>
                <w:sz w:val="15"/>
                <w:szCs w:val="15"/>
              </w:rPr>
            </w:pPr>
            <w:r>
              <w:rPr>
                <w:rFonts w:cs="Times New Roman"/>
                <w:sz w:val="15"/>
                <w:szCs w:val="15"/>
              </w:rPr>
              <w:t>30</w:t>
            </w:r>
          </w:p>
        </w:tc>
        <w:tc>
          <w:tcPr>
            <w:tcW w:w="313"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26.9</w:t>
            </w:r>
          </w:p>
        </w:tc>
        <w:tc>
          <w:tcPr>
            <w:tcW w:w="312"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10.2</w:t>
            </w:r>
          </w:p>
        </w:tc>
        <w:tc>
          <w:tcPr>
            <w:tcW w:w="313"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8.98</w:t>
            </w:r>
          </w:p>
        </w:tc>
        <w:tc>
          <w:tcPr>
            <w:tcW w:w="312"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17.0</w:t>
            </w:r>
          </w:p>
        </w:tc>
        <w:tc>
          <w:tcPr>
            <w:tcW w:w="313"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17.0</w:t>
            </w:r>
          </w:p>
        </w:tc>
        <w:tc>
          <w:tcPr>
            <w:tcW w:w="312"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27.1</w:t>
            </w:r>
          </w:p>
        </w:tc>
        <w:tc>
          <w:tcPr>
            <w:tcW w:w="313"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27.1</w:t>
            </w:r>
          </w:p>
        </w:tc>
        <w:tc>
          <w:tcPr>
            <w:tcW w:w="312" w:type="pct"/>
            <w:vAlign w:val="center"/>
          </w:tcPr>
          <w:p>
            <w:pPr>
              <w:spacing w:line="240" w:lineRule="auto"/>
              <w:ind w:firstLine="0" w:firstLineChars="0"/>
              <w:jc w:val="center"/>
              <w:rPr>
                <w:rFonts w:cs="Times New Roman"/>
                <w:bCs/>
                <w:sz w:val="15"/>
                <w:szCs w:val="15"/>
              </w:rPr>
            </w:pPr>
            <w:r>
              <w:rPr>
                <w:rFonts w:cs="Times New Roman"/>
                <w:bCs/>
                <w:sz w:val="15"/>
                <w:szCs w:val="15"/>
              </w:rPr>
              <w:t>8</w:t>
            </w:r>
          </w:p>
        </w:tc>
        <w:tc>
          <w:tcPr>
            <w:tcW w:w="313" w:type="pct"/>
            <w:vAlign w:val="center"/>
          </w:tcPr>
          <w:p>
            <w:pPr>
              <w:spacing w:line="240" w:lineRule="auto"/>
              <w:ind w:firstLine="0" w:firstLineChars="0"/>
              <w:jc w:val="center"/>
              <w:rPr>
                <w:rFonts w:cs="Times New Roman"/>
                <w:bCs/>
                <w:sz w:val="15"/>
                <w:szCs w:val="15"/>
              </w:rPr>
            </w:pPr>
            <w:r>
              <w:rPr>
                <w:rFonts w:cs="Times New Roman"/>
                <w:bCs/>
                <w:sz w:val="15"/>
                <w:szCs w:val="15"/>
              </w:rPr>
              <w:t>29</w:t>
            </w:r>
          </w:p>
        </w:tc>
        <w:tc>
          <w:tcPr>
            <w:tcW w:w="312" w:type="pct"/>
            <w:vAlign w:val="center"/>
          </w:tcPr>
          <w:p>
            <w:pPr>
              <w:spacing w:line="240" w:lineRule="auto"/>
              <w:ind w:firstLine="0" w:firstLineChars="0"/>
              <w:jc w:val="center"/>
              <w:rPr>
                <w:rFonts w:cs="Times New Roman"/>
                <w:bCs/>
                <w:sz w:val="15"/>
                <w:szCs w:val="15"/>
              </w:rPr>
            </w:pPr>
            <w:r>
              <w:rPr>
                <w:rFonts w:cs="Times New Roman"/>
                <w:bCs/>
                <w:sz w:val="15"/>
                <w:szCs w:val="15"/>
              </w:rPr>
              <w:t>17</w:t>
            </w:r>
          </w:p>
        </w:tc>
        <w:tc>
          <w:tcPr>
            <w:tcW w:w="313" w:type="pct"/>
            <w:vAlign w:val="center"/>
          </w:tcPr>
          <w:p>
            <w:pPr>
              <w:spacing w:line="240" w:lineRule="auto"/>
              <w:ind w:firstLine="0" w:firstLineChars="0"/>
              <w:jc w:val="center"/>
              <w:rPr>
                <w:rFonts w:cs="Times New Roman"/>
                <w:bCs/>
                <w:sz w:val="15"/>
                <w:szCs w:val="15"/>
              </w:rPr>
            </w:pPr>
            <w:r>
              <w:rPr>
                <w:rFonts w:cs="Times New Roman"/>
                <w:bCs/>
                <w:sz w:val="15"/>
                <w:szCs w:val="15"/>
              </w:rPr>
              <w:t>25</w:t>
            </w:r>
          </w:p>
        </w:tc>
        <w:tc>
          <w:tcPr>
            <w:tcW w:w="312" w:type="pct"/>
            <w:vAlign w:val="center"/>
          </w:tcPr>
          <w:p>
            <w:pPr>
              <w:spacing w:line="240" w:lineRule="auto"/>
              <w:ind w:firstLine="0" w:firstLineChars="0"/>
              <w:jc w:val="center"/>
              <w:rPr>
                <w:rFonts w:cs="Times New Roman"/>
                <w:bCs/>
                <w:sz w:val="15"/>
                <w:szCs w:val="15"/>
              </w:rPr>
            </w:pPr>
            <w:r>
              <w:rPr>
                <w:rFonts w:cs="Times New Roman"/>
                <w:bCs/>
                <w:sz w:val="15"/>
                <w:szCs w:val="15"/>
              </w:rPr>
              <w:t>9</w:t>
            </w:r>
          </w:p>
        </w:tc>
        <w:tc>
          <w:tcPr>
            <w:tcW w:w="311" w:type="pct"/>
            <w:shd w:val="clear" w:color="auto" w:fill="auto"/>
            <w:vAlign w:val="center"/>
          </w:tcPr>
          <w:p>
            <w:pPr>
              <w:spacing w:line="240" w:lineRule="auto"/>
              <w:ind w:firstLine="0" w:firstLineChars="0"/>
              <w:jc w:val="center"/>
              <w:rPr>
                <w:rFonts w:cs="Times New Roman"/>
                <w:bCs/>
                <w:sz w:val="15"/>
                <w:szCs w:val="15"/>
              </w:rPr>
            </w:pPr>
            <w:r>
              <w:rPr>
                <w:rFonts w:cs="Times New Roman"/>
                <w:sz w:val="15"/>
                <w:szCs w:val="15"/>
              </w:rPr>
              <w:t>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trPr>
        <w:tc>
          <w:tcPr>
            <w:tcW w:w="313" w:type="pct"/>
            <w:vMerge w:val="continue"/>
            <w:shd w:val="clear" w:color="auto" w:fill="auto"/>
            <w:vAlign w:val="center"/>
          </w:tcPr>
          <w:p>
            <w:pPr>
              <w:spacing w:line="240" w:lineRule="auto"/>
              <w:ind w:firstLine="0" w:firstLineChars="0"/>
              <w:jc w:val="center"/>
              <w:rPr>
                <w:rFonts w:cs="Times New Roman"/>
                <w:sz w:val="15"/>
                <w:szCs w:val="15"/>
              </w:rPr>
            </w:pPr>
          </w:p>
        </w:tc>
        <w:tc>
          <w:tcPr>
            <w:tcW w:w="313" w:type="pct"/>
            <w:shd w:val="clear" w:color="auto" w:fill="auto"/>
            <w:vAlign w:val="center"/>
          </w:tcPr>
          <w:p>
            <w:pPr>
              <w:spacing w:line="240" w:lineRule="auto"/>
              <w:ind w:firstLine="0" w:firstLineChars="0"/>
              <w:jc w:val="center"/>
              <w:rPr>
                <w:rFonts w:cs="Times New Roman"/>
                <w:sz w:val="15"/>
                <w:szCs w:val="15"/>
              </w:rPr>
            </w:pPr>
            <w:r>
              <w:rPr>
                <w:rFonts w:cs="Times New Roman"/>
                <w:sz w:val="15"/>
                <w:szCs w:val="15"/>
              </w:rPr>
              <w:t>总磷</w:t>
            </w:r>
          </w:p>
        </w:tc>
        <w:tc>
          <w:tcPr>
            <w:tcW w:w="312" w:type="pct"/>
            <w:shd w:val="clear" w:color="auto" w:fill="auto"/>
            <w:vAlign w:val="center"/>
          </w:tcPr>
          <w:p>
            <w:pPr>
              <w:spacing w:line="240" w:lineRule="auto"/>
              <w:ind w:firstLine="0" w:firstLineChars="0"/>
              <w:jc w:val="center"/>
              <w:rPr>
                <w:rFonts w:cs="Times New Roman"/>
                <w:sz w:val="15"/>
                <w:szCs w:val="15"/>
              </w:rPr>
            </w:pPr>
            <w:r>
              <w:rPr>
                <w:rFonts w:cs="Times New Roman"/>
                <w:sz w:val="15"/>
                <w:szCs w:val="15"/>
              </w:rPr>
              <w:t>0.3</w:t>
            </w:r>
          </w:p>
        </w:tc>
        <w:tc>
          <w:tcPr>
            <w:tcW w:w="313"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0.093</w:t>
            </w:r>
          </w:p>
        </w:tc>
        <w:tc>
          <w:tcPr>
            <w:tcW w:w="312"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0.088</w:t>
            </w:r>
          </w:p>
        </w:tc>
        <w:tc>
          <w:tcPr>
            <w:tcW w:w="313"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0.044</w:t>
            </w:r>
          </w:p>
        </w:tc>
        <w:tc>
          <w:tcPr>
            <w:tcW w:w="312"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0.044</w:t>
            </w:r>
          </w:p>
        </w:tc>
        <w:tc>
          <w:tcPr>
            <w:tcW w:w="313"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0.030</w:t>
            </w:r>
          </w:p>
        </w:tc>
        <w:tc>
          <w:tcPr>
            <w:tcW w:w="312"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0.200</w:t>
            </w:r>
          </w:p>
        </w:tc>
        <w:tc>
          <w:tcPr>
            <w:tcW w:w="313"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0.244</w:t>
            </w:r>
          </w:p>
        </w:tc>
        <w:tc>
          <w:tcPr>
            <w:tcW w:w="312" w:type="pct"/>
            <w:vAlign w:val="center"/>
          </w:tcPr>
          <w:p>
            <w:pPr>
              <w:spacing w:line="240" w:lineRule="auto"/>
              <w:ind w:firstLine="0" w:firstLineChars="0"/>
              <w:jc w:val="center"/>
              <w:rPr>
                <w:rFonts w:cs="Times New Roman"/>
                <w:bCs/>
                <w:sz w:val="15"/>
                <w:szCs w:val="15"/>
              </w:rPr>
            </w:pPr>
            <w:r>
              <w:rPr>
                <w:rFonts w:cs="Times New Roman"/>
                <w:bCs/>
                <w:sz w:val="15"/>
                <w:szCs w:val="15"/>
              </w:rPr>
              <w:t>0.120</w:t>
            </w:r>
          </w:p>
        </w:tc>
        <w:tc>
          <w:tcPr>
            <w:tcW w:w="313" w:type="pct"/>
            <w:vAlign w:val="center"/>
          </w:tcPr>
          <w:p>
            <w:pPr>
              <w:spacing w:line="240" w:lineRule="auto"/>
              <w:ind w:firstLine="0" w:firstLineChars="0"/>
              <w:jc w:val="center"/>
              <w:rPr>
                <w:rFonts w:cs="Times New Roman"/>
                <w:bCs/>
                <w:sz w:val="15"/>
                <w:szCs w:val="15"/>
              </w:rPr>
            </w:pPr>
            <w:r>
              <w:rPr>
                <w:rFonts w:cs="Times New Roman"/>
                <w:bCs/>
                <w:sz w:val="15"/>
                <w:szCs w:val="15"/>
              </w:rPr>
              <w:t>0.137</w:t>
            </w:r>
          </w:p>
        </w:tc>
        <w:tc>
          <w:tcPr>
            <w:tcW w:w="312" w:type="pct"/>
            <w:vAlign w:val="center"/>
          </w:tcPr>
          <w:p>
            <w:pPr>
              <w:spacing w:line="240" w:lineRule="auto"/>
              <w:ind w:firstLine="0" w:firstLineChars="0"/>
              <w:jc w:val="center"/>
              <w:rPr>
                <w:rFonts w:cs="Times New Roman"/>
                <w:bCs/>
                <w:sz w:val="15"/>
                <w:szCs w:val="15"/>
              </w:rPr>
            </w:pPr>
            <w:r>
              <w:rPr>
                <w:rFonts w:cs="Times New Roman"/>
                <w:bCs/>
                <w:sz w:val="15"/>
                <w:szCs w:val="15"/>
              </w:rPr>
              <w:t>0.280</w:t>
            </w:r>
          </w:p>
        </w:tc>
        <w:tc>
          <w:tcPr>
            <w:tcW w:w="313" w:type="pct"/>
            <w:vAlign w:val="center"/>
          </w:tcPr>
          <w:p>
            <w:pPr>
              <w:spacing w:line="240" w:lineRule="auto"/>
              <w:ind w:firstLine="0" w:firstLineChars="0"/>
              <w:jc w:val="center"/>
              <w:rPr>
                <w:rFonts w:cs="Times New Roman"/>
                <w:bCs/>
                <w:sz w:val="15"/>
                <w:szCs w:val="15"/>
              </w:rPr>
            </w:pPr>
            <w:r>
              <w:rPr>
                <w:rFonts w:cs="Times New Roman"/>
                <w:bCs/>
                <w:sz w:val="15"/>
                <w:szCs w:val="15"/>
              </w:rPr>
              <w:t>0.270</w:t>
            </w:r>
          </w:p>
        </w:tc>
        <w:tc>
          <w:tcPr>
            <w:tcW w:w="312" w:type="pct"/>
            <w:vAlign w:val="center"/>
          </w:tcPr>
          <w:p>
            <w:pPr>
              <w:spacing w:line="240" w:lineRule="auto"/>
              <w:ind w:firstLine="0" w:firstLineChars="0"/>
              <w:jc w:val="center"/>
              <w:rPr>
                <w:rFonts w:cs="Times New Roman"/>
                <w:bCs/>
                <w:sz w:val="15"/>
                <w:szCs w:val="15"/>
              </w:rPr>
            </w:pPr>
            <w:r>
              <w:rPr>
                <w:rFonts w:cs="Times New Roman"/>
                <w:bCs/>
                <w:sz w:val="15"/>
                <w:szCs w:val="15"/>
              </w:rPr>
              <w:t>0.112</w:t>
            </w:r>
          </w:p>
        </w:tc>
        <w:tc>
          <w:tcPr>
            <w:tcW w:w="311" w:type="pct"/>
            <w:shd w:val="clear" w:color="auto" w:fill="auto"/>
            <w:vAlign w:val="center"/>
          </w:tcPr>
          <w:p>
            <w:pPr>
              <w:spacing w:line="240" w:lineRule="auto"/>
              <w:ind w:firstLine="0" w:firstLineChars="0"/>
              <w:jc w:val="center"/>
              <w:rPr>
                <w:rFonts w:cs="Times New Roman"/>
                <w:bCs/>
                <w:sz w:val="15"/>
                <w:szCs w:val="15"/>
              </w:rPr>
            </w:pPr>
            <w:r>
              <w:rPr>
                <w:rFonts w:cs="Times New Roman"/>
                <w:sz w:val="15"/>
                <w:szCs w:val="15"/>
              </w:rPr>
              <w:t>0.139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313" w:type="pct"/>
            <w:vMerge w:val="restart"/>
            <w:shd w:val="clear" w:color="auto" w:fill="auto"/>
            <w:vAlign w:val="center"/>
          </w:tcPr>
          <w:p>
            <w:pPr>
              <w:spacing w:line="240" w:lineRule="auto"/>
              <w:ind w:firstLine="0" w:firstLineChars="0"/>
              <w:jc w:val="center"/>
              <w:rPr>
                <w:rFonts w:cs="Times New Roman"/>
                <w:sz w:val="15"/>
                <w:szCs w:val="15"/>
              </w:rPr>
            </w:pPr>
            <w:r>
              <w:rPr>
                <w:rFonts w:cs="Times New Roman"/>
                <w:sz w:val="15"/>
                <w:szCs w:val="15"/>
              </w:rPr>
              <w:t>韩家川</w:t>
            </w:r>
          </w:p>
        </w:tc>
        <w:tc>
          <w:tcPr>
            <w:tcW w:w="313" w:type="pct"/>
            <w:shd w:val="clear" w:color="auto" w:fill="auto"/>
            <w:vAlign w:val="center"/>
          </w:tcPr>
          <w:p>
            <w:pPr>
              <w:spacing w:line="240" w:lineRule="auto"/>
              <w:ind w:firstLine="0" w:firstLineChars="0"/>
              <w:jc w:val="center"/>
              <w:rPr>
                <w:rFonts w:cs="Times New Roman"/>
                <w:sz w:val="15"/>
                <w:szCs w:val="15"/>
              </w:rPr>
            </w:pPr>
            <w:r>
              <w:rPr>
                <w:rFonts w:cs="Times New Roman"/>
                <w:sz w:val="15"/>
                <w:szCs w:val="15"/>
              </w:rPr>
              <w:t>氨氮</w:t>
            </w:r>
          </w:p>
        </w:tc>
        <w:tc>
          <w:tcPr>
            <w:tcW w:w="312" w:type="pct"/>
            <w:shd w:val="clear" w:color="auto" w:fill="auto"/>
            <w:vAlign w:val="center"/>
          </w:tcPr>
          <w:p>
            <w:pPr>
              <w:spacing w:line="240" w:lineRule="auto"/>
              <w:ind w:firstLine="0" w:firstLineChars="0"/>
              <w:jc w:val="center"/>
              <w:rPr>
                <w:rFonts w:cs="Times New Roman"/>
                <w:sz w:val="15"/>
                <w:szCs w:val="15"/>
              </w:rPr>
            </w:pPr>
            <w:r>
              <w:rPr>
                <w:rFonts w:cs="Times New Roman"/>
                <w:sz w:val="15"/>
                <w:szCs w:val="15"/>
              </w:rPr>
              <w:t>1.5</w:t>
            </w:r>
          </w:p>
        </w:tc>
        <w:tc>
          <w:tcPr>
            <w:tcW w:w="313"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1.18</w:t>
            </w:r>
          </w:p>
        </w:tc>
        <w:tc>
          <w:tcPr>
            <w:tcW w:w="312"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0.551</w:t>
            </w:r>
          </w:p>
        </w:tc>
        <w:tc>
          <w:tcPr>
            <w:tcW w:w="313"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0.729</w:t>
            </w:r>
          </w:p>
        </w:tc>
        <w:tc>
          <w:tcPr>
            <w:tcW w:w="312"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1.18</w:t>
            </w:r>
          </w:p>
        </w:tc>
        <w:tc>
          <w:tcPr>
            <w:tcW w:w="313"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0.493</w:t>
            </w:r>
          </w:p>
        </w:tc>
        <w:tc>
          <w:tcPr>
            <w:tcW w:w="312"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0.076</w:t>
            </w:r>
          </w:p>
        </w:tc>
        <w:tc>
          <w:tcPr>
            <w:tcW w:w="313"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0.102</w:t>
            </w:r>
          </w:p>
        </w:tc>
        <w:tc>
          <w:tcPr>
            <w:tcW w:w="312" w:type="pct"/>
            <w:vAlign w:val="center"/>
          </w:tcPr>
          <w:p>
            <w:pPr>
              <w:adjustRightInd w:val="0"/>
              <w:snapToGrid w:val="0"/>
              <w:spacing w:line="240" w:lineRule="auto"/>
              <w:ind w:firstLine="0" w:firstLineChars="0"/>
              <w:jc w:val="center"/>
              <w:rPr>
                <w:rFonts w:cs="Times New Roman"/>
                <w:bCs/>
                <w:sz w:val="15"/>
                <w:szCs w:val="15"/>
              </w:rPr>
            </w:pPr>
            <w:r>
              <w:rPr>
                <w:rFonts w:cs="Times New Roman"/>
                <w:bCs/>
                <w:sz w:val="15"/>
                <w:szCs w:val="15"/>
              </w:rPr>
              <w:t>0.114</w:t>
            </w:r>
          </w:p>
        </w:tc>
        <w:tc>
          <w:tcPr>
            <w:tcW w:w="313" w:type="pct"/>
            <w:vAlign w:val="center"/>
          </w:tcPr>
          <w:p>
            <w:pPr>
              <w:adjustRightInd w:val="0"/>
              <w:snapToGrid w:val="0"/>
              <w:spacing w:line="240" w:lineRule="auto"/>
              <w:ind w:firstLine="0" w:firstLineChars="0"/>
              <w:jc w:val="center"/>
              <w:rPr>
                <w:rFonts w:cs="Times New Roman"/>
                <w:bCs/>
                <w:sz w:val="15"/>
                <w:szCs w:val="15"/>
              </w:rPr>
            </w:pPr>
            <w:r>
              <w:rPr>
                <w:rFonts w:cs="Times New Roman"/>
                <w:bCs/>
                <w:sz w:val="15"/>
                <w:szCs w:val="15"/>
              </w:rPr>
              <w:t>0.130</w:t>
            </w:r>
          </w:p>
        </w:tc>
        <w:tc>
          <w:tcPr>
            <w:tcW w:w="312" w:type="pct"/>
            <w:vAlign w:val="center"/>
          </w:tcPr>
          <w:p>
            <w:pPr>
              <w:adjustRightInd w:val="0"/>
              <w:snapToGrid w:val="0"/>
              <w:spacing w:line="240" w:lineRule="auto"/>
              <w:ind w:firstLine="0" w:firstLineChars="0"/>
              <w:jc w:val="center"/>
              <w:rPr>
                <w:rFonts w:cs="Times New Roman"/>
                <w:bCs/>
                <w:sz w:val="15"/>
                <w:szCs w:val="15"/>
              </w:rPr>
            </w:pPr>
            <w:r>
              <w:rPr>
                <w:rFonts w:cs="Times New Roman"/>
                <w:bCs/>
                <w:sz w:val="15"/>
                <w:szCs w:val="15"/>
              </w:rPr>
              <w:t>0.164</w:t>
            </w:r>
          </w:p>
        </w:tc>
        <w:tc>
          <w:tcPr>
            <w:tcW w:w="313" w:type="pct"/>
            <w:vAlign w:val="center"/>
          </w:tcPr>
          <w:p>
            <w:pPr>
              <w:adjustRightInd w:val="0"/>
              <w:snapToGrid w:val="0"/>
              <w:spacing w:line="240" w:lineRule="auto"/>
              <w:ind w:firstLine="0" w:firstLineChars="0"/>
              <w:jc w:val="center"/>
              <w:rPr>
                <w:rFonts w:cs="Times New Roman"/>
                <w:bCs/>
                <w:sz w:val="15"/>
                <w:szCs w:val="15"/>
              </w:rPr>
            </w:pPr>
            <w:r>
              <w:rPr>
                <w:rFonts w:cs="Times New Roman"/>
                <w:bCs/>
                <w:sz w:val="15"/>
                <w:szCs w:val="15"/>
              </w:rPr>
              <w:t>1.04</w:t>
            </w:r>
          </w:p>
        </w:tc>
        <w:tc>
          <w:tcPr>
            <w:tcW w:w="312" w:type="pct"/>
            <w:vAlign w:val="center"/>
          </w:tcPr>
          <w:p>
            <w:pPr>
              <w:adjustRightInd w:val="0"/>
              <w:snapToGrid w:val="0"/>
              <w:spacing w:line="240" w:lineRule="auto"/>
              <w:ind w:firstLine="0" w:firstLineChars="0"/>
              <w:jc w:val="center"/>
              <w:rPr>
                <w:rFonts w:cs="Times New Roman"/>
                <w:bCs/>
                <w:sz w:val="15"/>
                <w:szCs w:val="15"/>
              </w:rPr>
            </w:pPr>
            <w:r>
              <w:rPr>
                <w:rFonts w:cs="Times New Roman"/>
                <w:bCs/>
                <w:sz w:val="15"/>
                <w:szCs w:val="15"/>
              </w:rPr>
              <w:t>0.578</w:t>
            </w:r>
          </w:p>
        </w:tc>
        <w:tc>
          <w:tcPr>
            <w:tcW w:w="311" w:type="pct"/>
            <w:shd w:val="clear" w:color="auto" w:fill="auto"/>
            <w:vAlign w:val="center"/>
          </w:tcPr>
          <w:p>
            <w:pPr>
              <w:adjustRightInd w:val="0"/>
              <w:snapToGrid w:val="0"/>
              <w:spacing w:line="240" w:lineRule="auto"/>
              <w:ind w:firstLine="0" w:firstLineChars="0"/>
              <w:jc w:val="center"/>
              <w:rPr>
                <w:rFonts w:cs="Times New Roman"/>
                <w:bCs/>
                <w:sz w:val="15"/>
                <w:szCs w:val="15"/>
              </w:rPr>
            </w:pPr>
            <w:r>
              <w:rPr>
                <w:rFonts w:cs="Times New Roman"/>
                <w:sz w:val="15"/>
                <w:szCs w:val="15"/>
              </w:rPr>
              <w:t>0.528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trPr>
        <w:tc>
          <w:tcPr>
            <w:tcW w:w="313" w:type="pct"/>
            <w:vMerge w:val="continue"/>
            <w:shd w:val="clear" w:color="auto" w:fill="auto"/>
            <w:vAlign w:val="center"/>
          </w:tcPr>
          <w:p>
            <w:pPr>
              <w:spacing w:line="240" w:lineRule="auto"/>
              <w:ind w:firstLine="0" w:firstLineChars="0"/>
              <w:jc w:val="center"/>
              <w:rPr>
                <w:rFonts w:cs="Times New Roman"/>
                <w:sz w:val="15"/>
                <w:szCs w:val="15"/>
              </w:rPr>
            </w:pPr>
          </w:p>
        </w:tc>
        <w:tc>
          <w:tcPr>
            <w:tcW w:w="313" w:type="pct"/>
            <w:shd w:val="clear" w:color="auto" w:fill="auto"/>
            <w:vAlign w:val="center"/>
          </w:tcPr>
          <w:p>
            <w:pPr>
              <w:spacing w:line="240" w:lineRule="auto"/>
              <w:ind w:firstLine="0" w:firstLineChars="0"/>
              <w:jc w:val="center"/>
              <w:rPr>
                <w:rFonts w:cs="Times New Roman"/>
                <w:sz w:val="15"/>
                <w:szCs w:val="15"/>
              </w:rPr>
            </w:pPr>
            <w:r>
              <w:rPr>
                <w:rFonts w:cs="Times New Roman"/>
                <w:sz w:val="15"/>
                <w:szCs w:val="15"/>
              </w:rPr>
              <w:t>COD</w:t>
            </w:r>
          </w:p>
        </w:tc>
        <w:tc>
          <w:tcPr>
            <w:tcW w:w="312" w:type="pct"/>
            <w:shd w:val="clear" w:color="auto" w:fill="auto"/>
            <w:vAlign w:val="center"/>
          </w:tcPr>
          <w:p>
            <w:pPr>
              <w:spacing w:line="240" w:lineRule="auto"/>
              <w:ind w:firstLine="0" w:firstLineChars="0"/>
              <w:jc w:val="center"/>
              <w:rPr>
                <w:rFonts w:cs="Times New Roman"/>
                <w:sz w:val="15"/>
                <w:szCs w:val="15"/>
              </w:rPr>
            </w:pPr>
            <w:r>
              <w:rPr>
                <w:rFonts w:cs="Times New Roman"/>
                <w:sz w:val="15"/>
                <w:szCs w:val="15"/>
              </w:rPr>
              <w:t>30</w:t>
            </w:r>
          </w:p>
        </w:tc>
        <w:tc>
          <w:tcPr>
            <w:tcW w:w="313"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19</w:t>
            </w:r>
          </w:p>
        </w:tc>
        <w:tc>
          <w:tcPr>
            <w:tcW w:w="312"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15.0</w:t>
            </w:r>
          </w:p>
        </w:tc>
        <w:tc>
          <w:tcPr>
            <w:tcW w:w="313"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26.9</w:t>
            </w:r>
          </w:p>
        </w:tc>
        <w:tc>
          <w:tcPr>
            <w:tcW w:w="312"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26.9</w:t>
            </w:r>
          </w:p>
        </w:tc>
        <w:tc>
          <w:tcPr>
            <w:tcW w:w="313"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13.0</w:t>
            </w:r>
          </w:p>
        </w:tc>
        <w:tc>
          <w:tcPr>
            <w:tcW w:w="312"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16.7</w:t>
            </w:r>
          </w:p>
        </w:tc>
        <w:tc>
          <w:tcPr>
            <w:tcW w:w="313"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16.1</w:t>
            </w:r>
          </w:p>
        </w:tc>
        <w:tc>
          <w:tcPr>
            <w:tcW w:w="312" w:type="pct"/>
            <w:vAlign w:val="center"/>
          </w:tcPr>
          <w:p>
            <w:pPr>
              <w:adjustRightInd w:val="0"/>
              <w:snapToGrid w:val="0"/>
              <w:spacing w:line="240" w:lineRule="auto"/>
              <w:ind w:firstLine="0" w:firstLineChars="0"/>
              <w:jc w:val="center"/>
              <w:rPr>
                <w:rFonts w:cs="Times New Roman"/>
                <w:bCs/>
                <w:sz w:val="15"/>
                <w:szCs w:val="15"/>
              </w:rPr>
            </w:pPr>
            <w:r>
              <w:rPr>
                <w:rFonts w:cs="Times New Roman"/>
                <w:bCs/>
                <w:sz w:val="15"/>
                <w:szCs w:val="15"/>
              </w:rPr>
              <w:t>5</w:t>
            </w:r>
          </w:p>
        </w:tc>
        <w:tc>
          <w:tcPr>
            <w:tcW w:w="313" w:type="pct"/>
            <w:vAlign w:val="center"/>
          </w:tcPr>
          <w:p>
            <w:pPr>
              <w:adjustRightInd w:val="0"/>
              <w:snapToGrid w:val="0"/>
              <w:spacing w:line="240" w:lineRule="auto"/>
              <w:ind w:firstLine="0" w:firstLineChars="0"/>
              <w:jc w:val="center"/>
              <w:rPr>
                <w:rFonts w:cs="Times New Roman"/>
                <w:bCs/>
                <w:sz w:val="15"/>
                <w:szCs w:val="15"/>
              </w:rPr>
            </w:pPr>
            <w:r>
              <w:rPr>
                <w:rFonts w:cs="Times New Roman"/>
                <w:bCs/>
                <w:sz w:val="15"/>
                <w:szCs w:val="15"/>
              </w:rPr>
              <w:t>27</w:t>
            </w:r>
          </w:p>
        </w:tc>
        <w:tc>
          <w:tcPr>
            <w:tcW w:w="312" w:type="pct"/>
            <w:vAlign w:val="center"/>
          </w:tcPr>
          <w:p>
            <w:pPr>
              <w:adjustRightInd w:val="0"/>
              <w:snapToGrid w:val="0"/>
              <w:spacing w:line="240" w:lineRule="auto"/>
              <w:ind w:firstLine="0" w:firstLineChars="0"/>
              <w:jc w:val="center"/>
              <w:rPr>
                <w:rFonts w:cs="Times New Roman"/>
                <w:bCs/>
                <w:sz w:val="15"/>
                <w:szCs w:val="15"/>
              </w:rPr>
            </w:pPr>
            <w:r>
              <w:rPr>
                <w:rFonts w:cs="Times New Roman"/>
                <w:bCs/>
                <w:sz w:val="15"/>
                <w:szCs w:val="15"/>
              </w:rPr>
              <w:t>17</w:t>
            </w:r>
          </w:p>
        </w:tc>
        <w:tc>
          <w:tcPr>
            <w:tcW w:w="313" w:type="pct"/>
            <w:vAlign w:val="center"/>
          </w:tcPr>
          <w:p>
            <w:pPr>
              <w:adjustRightInd w:val="0"/>
              <w:snapToGrid w:val="0"/>
              <w:spacing w:line="240" w:lineRule="auto"/>
              <w:ind w:firstLine="0" w:firstLineChars="0"/>
              <w:jc w:val="center"/>
              <w:rPr>
                <w:rFonts w:cs="Times New Roman"/>
                <w:bCs/>
                <w:sz w:val="15"/>
                <w:szCs w:val="15"/>
              </w:rPr>
            </w:pPr>
            <w:r>
              <w:rPr>
                <w:rFonts w:cs="Times New Roman"/>
                <w:bCs/>
                <w:sz w:val="15"/>
                <w:szCs w:val="15"/>
              </w:rPr>
              <w:t>13</w:t>
            </w:r>
          </w:p>
        </w:tc>
        <w:tc>
          <w:tcPr>
            <w:tcW w:w="312" w:type="pct"/>
            <w:vAlign w:val="center"/>
          </w:tcPr>
          <w:p>
            <w:pPr>
              <w:adjustRightInd w:val="0"/>
              <w:snapToGrid w:val="0"/>
              <w:spacing w:line="240" w:lineRule="auto"/>
              <w:ind w:firstLine="0" w:firstLineChars="0"/>
              <w:jc w:val="center"/>
              <w:rPr>
                <w:rFonts w:cs="Times New Roman"/>
                <w:bCs/>
                <w:sz w:val="15"/>
                <w:szCs w:val="15"/>
              </w:rPr>
            </w:pPr>
            <w:r>
              <w:rPr>
                <w:rFonts w:cs="Times New Roman"/>
                <w:bCs/>
                <w:sz w:val="15"/>
                <w:szCs w:val="15"/>
              </w:rPr>
              <w:t>9</w:t>
            </w:r>
          </w:p>
        </w:tc>
        <w:tc>
          <w:tcPr>
            <w:tcW w:w="311" w:type="pct"/>
            <w:shd w:val="clear" w:color="auto" w:fill="auto"/>
            <w:vAlign w:val="center"/>
          </w:tcPr>
          <w:p>
            <w:pPr>
              <w:adjustRightInd w:val="0"/>
              <w:snapToGrid w:val="0"/>
              <w:spacing w:line="240" w:lineRule="auto"/>
              <w:ind w:firstLine="0" w:firstLineChars="0"/>
              <w:jc w:val="center"/>
              <w:rPr>
                <w:rFonts w:cs="Times New Roman"/>
                <w:bCs/>
                <w:sz w:val="15"/>
                <w:szCs w:val="15"/>
              </w:rPr>
            </w:pPr>
            <w:r>
              <w:rPr>
                <w:rFonts w:cs="Times New Roman"/>
                <w:sz w:val="15"/>
                <w:szCs w:val="15"/>
              </w:rPr>
              <w:t>17.1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trPr>
        <w:tc>
          <w:tcPr>
            <w:tcW w:w="313" w:type="pct"/>
            <w:vMerge w:val="continue"/>
            <w:shd w:val="clear" w:color="auto" w:fill="auto"/>
            <w:vAlign w:val="center"/>
          </w:tcPr>
          <w:p>
            <w:pPr>
              <w:spacing w:line="240" w:lineRule="auto"/>
              <w:ind w:firstLine="0" w:firstLineChars="0"/>
              <w:jc w:val="center"/>
              <w:rPr>
                <w:rFonts w:cs="Times New Roman"/>
                <w:sz w:val="15"/>
                <w:szCs w:val="15"/>
              </w:rPr>
            </w:pPr>
          </w:p>
        </w:tc>
        <w:tc>
          <w:tcPr>
            <w:tcW w:w="313" w:type="pct"/>
            <w:shd w:val="clear" w:color="auto" w:fill="auto"/>
            <w:vAlign w:val="center"/>
          </w:tcPr>
          <w:p>
            <w:pPr>
              <w:spacing w:line="240" w:lineRule="auto"/>
              <w:ind w:firstLine="0" w:firstLineChars="0"/>
              <w:jc w:val="center"/>
              <w:rPr>
                <w:rFonts w:cs="Times New Roman"/>
                <w:sz w:val="15"/>
                <w:szCs w:val="15"/>
              </w:rPr>
            </w:pPr>
            <w:r>
              <w:rPr>
                <w:rFonts w:cs="Times New Roman"/>
                <w:sz w:val="15"/>
                <w:szCs w:val="15"/>
              </w:rPr>
              <w:t>总磷</w:t>
            </w:r>
          </w:p>
        </w:tc>
        <w:tc>
          <w:tcPr>
            <w:tcW w:w="312" w:type="pct"/>
            <w:shd w:val="clear" w:color="auto" w:fill="auto"/>
            <w:vAlign w:val="center"/>
          </w:tcPr>
          <w:p>
            <w:pPr>
              <w:spacing w:line="240" w:lineRule="auto"/>
              <w:ind w:firstLine="0" w:firstLineChars="0"/>
              <w:jc w:val="center"/>
              <w:rPr>
                <w:rFonts w:cs="Times New Roman"/>
                <w:sz w:val="15"/>
                <w:szCs w:val="15"/>
              </w:rPr>
            </w:pPr>
            <w:r>
              <w:rPr>
                <w:rFonts w:cs="Times New Roman"/>
                <w:sz w:val="15"/>
                <w:szCs w:val="15"/>
              </w:rPr>
              <w:t>0.3</w:t>
            </w:r>
          </w:p>
        </w:tc>
        <w:tc>
          <w:tcPr>
            <w:tcW w:w="313"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0.085</w:t>
            </w:r>
          </w:p>
        </w:tc>
        <w:tc>
          <w:tcPr>
            <w:tcW w:w="312"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0.054</w:t>
            </w:r>
          </w:p>
        </w:tc>
        <w:tc>
          <w:tcPr>
            <w:tcW w:w="313"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0.182</w:t>
            </w:r>
          </w:p>
        </w:tc>
        <w:tc>
          <w:tcPr>
            <w:tcW w:w="312"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0.036</w:t>
            </w:r>
          </w:p>
        </w:tc>
        <w:tc>
          <w:tcPr>
            <w:tcW w:w="313"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0.172</w:t>
            </w:r>
          </w:p>
        </w:tc>
        <w:tc>
          <w:tcPr>
            <w:tcW w:w="312"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0.188</w:t>
            </w:r>
          </w:p>
        </w:tc>
        <w:tc>
          <w:tcPr>
            <w:tcW w:w="313" w:type="pct"/>
            <w:shd w:val="clear" w:color="auto" w:fill="auto"/>
            <w:vAlign w:val="center"/>
          </w:tcPr>
          <w:p>
            <w:pPr>
              <w:spacing w:line="240" w:lineRule="auto"/>
              <w:ind w:firstLine="0" w:firstLineChars="0"/>
              <w:jc w:val="center"/>
              <w:rPr>
                <w:rFonts w:cs="Times New Roman"/>
                <w:bCs/>
                <w:sz w:val="15"/>
                <w:szCs w:val="15"/>
              </w:rPr>
            </w:pPr>
            <w:r>
              <w:rPr>
                <w:rFonts w:cs="Times New Roman"/>
                <w:bCs/>
                <w:sz w:val="15"/>
                <w:szCs w:val="15"/>
              </w:rPr>
              <w:t>0.070</w:t>
            </w:r>
          </w:p>
        </w:tc>
        <w:tc>
          <w:tcPr>
            <w:tcW w:w="312" w:type="pct"/>
            <w:vAlign w:val="center"/>
          </w:tcPr>
          <w:p>
            <w:pPr>
              <w:adjustRightInd w:val="0"/>
              <w:snapToGrid w:val="0"/>
              <w:spacing w:line="240" w:lineRule="auto"/>
              <w:ind w:firstLine="0" w:firstLineChars="0"/>
              <w:jc w:val="center"/>
              <w:rPr>
                <w:rFonts w:cs="Times New Roman"/>
                <w:bCs/>
                <w:sz w:val="15"/>
                <w:szCs w:val="15"/>
              </w:rPr>
            </w:pPr>
            <w:r>
              <w:rPr>
                <w:rFonts w:cs="Times New Roman"/>
                <w:bCs/>
                <w:sz w:val="15"/>
                <w:szCs w:val="15"/>
              </w:rPr>
              <w:t>0.015</w:t>
            </w:r>
          </w:p>
        </w:tc>
        <w:tc>
          <w:tcPr>
            <w:tcW w:w="313" w:type="pct"/>
            <w:vAlign w:val="center"/>
          </w:tcPr>
          <w:p>
            <w:pPr>
              <w:adjustRightInd w:val="0"/>
              <w:snapToGrid w:val="0"/>
              <w:spacing w:line="240" w:lineRule="auto"/>
              <w:ind w:firstLine="0" w:firstLineChars="0"/>
              <w:jc w:val="center"/>
              <w:rPr>
                <w:rFonts w:cs="Times New Roman"/>
                <w:bCs/>
                <w:sz w:val="15"/>
                <w:szCs w:val="15"/>
              </w:rPr>
            </w:pPr>
            <w:r>
              <w:rPr>
                <w:rFonts w:cs="Times New Roman"/>
                <w:bCs/>
                <w:sz w:val="15"/>
                <w:szCs w:val="15"/>
              </w:rPr>
              <w:t>0.290</w:t>
            </w:r>
          </w:p>
        </w:tc>
        <w:tc>
          <w:tcPr>
            <w:tcW w:w="312" w:type="pct"/>
            <w:vAlign w:val="center"/>
          </w:tcPr>
          <w:p>
            <w:pPr>
              <w:adjustRightInd w:val="0"/>
              <w:snapToGrid w:val="0"/>
              <w:spacing w:line="240" w:lineRule="auto"/>
              <w:ind w:firstLine="0" w:firstLineChars="0"/>
              <w:jc w:val="center"/>
              <w:rPr>
                <w:rFonts w:cs="Times New Roman"/>
                <w:bCs/>
                <w:sz w:val="15"/>
                <w:szCs w:val="15"/>
              </w:rPr>
            </w:pPr>
            <w:r>
              <w:rPr>
                <w:rFonts w:cs="Times New Roman"/>
                <w:bCs/>
                <w:sz w:val="15"/>
                <w:szCs w:val="15"/>
              </w:rPr>
              <w:t>0.155</w:t>
            </w:r>
          </w:p>
        </w:tc>
        <w:tc>
          <w:tcPr>
            <w:tcW w:w="313" w:type="pct"/>
            <w:vAlign w:val="center"/>
          </w:tcPr>
          <w:p>
            <w:pPr>
              <w:adjustRightInd w:val="0"/>
              <w:snapToGrid w:val="0"/>
              <w:spacing w:line="240" w:lineRule="auto"/>
              <w:ind w:firstLine="0" w:firstLineChars="0"/>
              <w:jc w:val="center"/>
              <w:rPr>
                <w:rFonts w:cs="Times New Roman"/>
                <w:bCs/>
                <w:sz w:val="15"/>
                <w:szCs w:val="15"/>
              </w:rPr>
            </w:pPr>
            <w:r>
              <w:rPr>
                <w:rFonts w:cs="Times New Roman"/>
                <w:bCs/>
                <w:sz w:val="15"/>
                <w:szCs w:val="15"/>
              </w:rPr>
              <w:t>0.156</w:t>
            </w:r>
          </w:p>
        </w:tc>
        <w:tc>
          <w:tcPr>
            <w:tcW w:w="312" w:type="pct"/>
            <w:vAlign w:val="center"/>
          </w:tcPr>
          <w:p>
            <w:pPr>
              <w:adjustRightInd w:val="0"/>
              <w:snapToGrid w:val="0"/>
              <w:spacing w:line="240" w:lineRule="auto"/>
              <w:ind w:firstLine="0" w:firstLineChars="0"/>
              <w:jc w:val="center"/>
              <w:rPr>
                <w:rFonts w:cs="Times New Roman"/>
                <w:bCs/>
                <w:sz w:val="15"/>
                <w:szCs w:val="15"/>
              </w:rPr>
            </w:pPr>
            <w:r>
              <w:rPr>
                <w:rFonts w:cs="Times New Roman"/>
                <w:bCs/>
                <w:sz w:val="15"/>
                <w:szCs w:val="15"/>
              </w:rPr>
              <w:t>0.084</w:t>
            </w:r>
          </w:p>
        </w:tc>
        <w:tc>
          <w:tcPr>
            <w:tcW w:w="311" w:type="pct"/>
            <w:shd w:val="clear" w:color="auto" w:fill="auto"/>
            <w:vAlign w:val="center"/>
          </w:tcPr>
          <w:p>
            <w:pPr>
              <w:adjustRightInd w:val="0"/>
              <w:snapToGrid w:val="0"/>
              <w:spacing w:line="240" w:lineRule="auto"/>
              <w:ind w:firstLine="0" w:firstLineChars="0"/>
              <w:jc w:val="center"/>
              <w:rPr>
                <w:rFonts w:cs="Times New Roman"/>
                <w:bCs/>
                <w:sz w:val="15"/>
                <w:szCs w:val="15"/>
              </w:rPr>
            </w:pPr>
            <w:r>
              <w:rPr>
                <w:rFonts w:cs="Times New Roman"/>
                <w:sz w:val="15"/>
                <w:szCs w:val="15"/>
              </w:rPr>
              <w:t>0.124</w:t>
            </w:r>
          </w:p>
        </w:tc>
      </w:tr>
    </w:tbl>
    <w:p>
      <w:pPr>
        <w:ind w:firstLine="480"/>
        <w:rPr>
          <w:rFonts w:cs="Times New Roman"/>
        </w:rPr>
      </w:pPr>
    </w:p>
    <w:p>
      <w:pPr>
        <w:ind w:firstLine="199" w:firstLineChars="83"/>
        <w:rPr>
          <w:rFonts w:cs="Times New Roman"/>
        </w:rPr>
      </w:pPr>
    </w:p>
    <w:bookmarkEnd w:id="27"/>
    <w:p>
      <w:pPr>
        <w:pStyle w:val="5"/>
        <w:spacing w:line="360" w:lineRule="auto"/>
      </w:pPr>
      <w:bookmarkStart w:id="29" w:name="_Toc43848808"/>
      <w:r>
        <w:t>3 污染源分析</w:t>
      </w:r>
      <w:bookmarkEnd w:id="29"/>
    </w:p>
    <w:p>
      <w:pPr>
        <w:pStyle w:val="7"/>
        <w:spacing w:line="360" w:lineRule="auto"/>
        <w:rPr>
          <w:rFonts w:ascii="Times New Roman" w:hAnsi="Times New Roman" w:cs="Times New Roman"/>
        </w:rPr>
      </w:pPr>
      <w:bookmarkStart w:id="30" w:name="_Toc43848809"/>
      <w:r>
        <w:rPr>
          <w:rFonts w:ascii="Times New Roman" w:hAnsi="Times New Roman" w:cs="Times New Roman"/>
        </w:rPr>
        <w:t>3.1 用水及排水特征</w:t>
      </w:r>
      <w:bookmarkEnd w:id="30"/>
    </w:p>
    <w:p>
      <w:pPr>
        <w:pStyle w:val="8"/>
        <w:spacing w:line="360" w:lineRule="auto"/>
        <w:rPr>
          <w:rFonts w:ascii="Times New Roman" w:hAnsi="Times New Roman" w:cs="Times New Roman"/>
        </w:rPr>
      </w:pPr>
      <w:bookmarkStart w:id="31" w:name="_Toc6055977"/>
      <w:bookmarkStart w:id="32" w:name="_Toc6055974"/>
      <w:r>
        <w:rPr>
          <w:rFonts w:ascii="Times New Roman" w:hAnsi="Times New Roman" w:cs="Times New Roman"/>
        </w:rPr>
        <w:t>3.1.1 供水情况</w:t>
      </w:r>
    </w:p>
    <w:p>
      <w:pPr>
        <w:ind w:firstLine="480"/>
        <w:rPr>
          <w:rFonts w:cs="Times New Roman"/>
        </w:rPr>
      </w:pPr>
      <w:r>
        <w:rPr>
          <w:rFonts w:cs="Times New Roman"/>
        </w:rPr>
        <w:t>农村生活污水排放量与供水方式密切相关，不同的给水方式会影响居民用水量，进而影响生活污水产生排放量。根据收集与调研资料可知，保德县村庄的供水方式主要包括自来水、自备水</w:t>
      </w:r>
      <w:r>
        <w:rPr>
          <w:rFonts w:hint="eastAsia" w:cs="Times New Roman"/>
        </w:rPr>
        <w:t>及</w:t>
      </w:r>
      <w:r>
        <w:rPr>
          <w:rFonts w:cs="Times New Roman"/>
        </w:rPr>
        <w:t>其他类型用水几种方式，其中自备水包括供水点集中供水</w:t>
      </w:r>
      <w:r>
        <w:rPr>
          <w:rFonts w:hint="eastAsia" w:cs="Times New Roman"/>
        </w:rPr>
        <w:t>（涵盖</w:t>
      </w:r>
      <w:r>
        <w:rPr>
          <w:rFonts w:cs="Times New Roman"/>
        </w:rPr>
        <w:t>农村通过</w:t>
      </w:r>
      <w:r>
        <w:rPr>
          <w:rFonts w:hint="eastAsia" w:cs="Times New Roman"/>
        </w:rPr>
        <w:t>统一收集饮水水源而未经净化消毒</w:t>
      </w:r>
      <w:r>
        <w:rPr>
          <w:rFonts w:cs="Times New Roman"/>
        </w:rPr>
        <w:t>等</w:t>
      </w:r>
      <w:r>
        <w:rPr>
          <w:rFonts w:hint="eastAsia" w:cs="Times New Roman"/>
        </w:rPr>
        <w:t>符合国家标准</w:t>
      </w:r>
      <w:r>
        <w:rPr>
          <w:rFonts w:cs="Times New Roman"/>
        </w:rPr>
        <w:t>的方式处理</w:t>
      </w:r>
      <w:r>
        <w:rPr>
          <w:rFonts w:hint="eastAsia" w:cs="Times New Roman"/>
        </w:rPr>
        <w:t>通过管道给</w:t>
      </w:r>
      <w:r>
        <w:rPr>
          <w:rFonts w:cs="Times New Roman"/>
        </w:rPr>
        <w:t>村民统一供水</w:t>
      </w:r>
      <w:r>
        <w:rPr>
          <w:rFonts w:hint="eastAsia" w:cs="Times New Roman"/>
        </w:rPr>
        <w:t>）</w:t>
      </w:r>
      <w:r>
        <w:rPr>
          <w:rFonts w:cs="Times New Roman"/>
        </w:rPr>
        <w:t>或存入旱井（以户建设）两种，其他供水方式包括河水、井水、深井水、山泉水、泉水、山上取水、挑水等多种供水方式，不同供水方式村庄、人口数量比例见表3-1。从表中可以看出，林遮峪乡、土崖塔乡、冯家川乡、南河沟乡、腰庄乡、东关镇、桥头镇、窑洼乡、窑圪台乡、义门镇的农村供水以自来水和供水点集中供水为主；杨家湾镇、韩家川乡、孙家沟等乡的供水方式主要为自来水、旱井和其他类型供水。</w:t>
      </w:r>
    </w:p>
    <w:p>
      <w:pPr>
        <w:pStyle w:val="16"/>
        <w:ind w:firstLine="0" w:firstLineChars="0"/>
        <w:rPr>
          <w:rFonts w:eastAsia="黑体" w:cs="Times New Roman"/>
          <w:b w:val="0"/>
          <w:bCs/>
        </w:rPr>
      </w:pPr>
      <w:r>
        <w:rPr>
          <w:rFonts w:eastAsia="黑体" w:cs="Times New Roman"/>
          <w:b w:val="0"/>
          <w:bCs/>
        </w:rPr>
        <w:t>表3-1  保德县不同供水方式村庄数量、人口比例           单位%</w:t>
      </w:r>
    </w:p>
    <w:tbl>
      <w:tblPr>
        <w:tblStyle w:val="29"/>
        <w:tblW w:w="4836" w:type="pct"/>
        <w:jc w:val="center"/>
        <w:tblLayout w:type="fixed"/>
        <w:tblCellMar>
          <w:top w:w="0" w:type="dxa"/>
          <w:left w:w="108" w:type="dxa"/>
          <w:bottom w:w="0" w:type="dxa"/>
          <w:right w:w="108" w:type="dxa"/>
        </w:tblCellMar>
      </w:tblPr>
      <w:tblGrid>
        <w:gridCol w:w="571"/>
        <w:gridCol w:w="1265"/>
        <w:gridCol w:w="921"/>
        <w:gridCol w:w="872"/>
        <w:gridCol w:w="873"/>
        <w:gridCol w:w="808"/>
        <w:gridCol w:w="846"/>
        <w:gridCol w:w="792"/>
        <w:gridCol w:w="823"/>
        <w:gridCol w:w="992"/>
      </w:tblGrid>
      <w:tr>
        <w:tblPrEx>
          <w:tblCellMar>
            <w:top w:w="0" w:type="dxa"/>
            <w:left w:w="108" w:type="dxa"/>
            <w:bottom w:w="0" w:type="dxa"/>
            <w:right w:w="108" w:type="dxa"/>
          </w:tblCellMar>
        </w:tblPrEx>
        <w:trPr>
          <w:trHeight w:val="300" w:hRule="atLeast"/>
          <w:jc w:val="center"/>
        </w:trPr>
        <w:tc>
          <w:tcPr>
            <w:tcW w:w="571" w:type="dxa"/>
            <w:vMerge w:val="restart"/>
            <w:tcBorders>
              <w:top w:val="single" w:color="auto" w:sz="4" w:space="0"/>
              <w:left w:val="single" w:color="auto" w:sz="4" w:space="0"/>
              <w:right w:val="single" w:color="auto" w:sz="4" w:space="0"/>
            </w:tcBorders>
            <w:shd w:val="clear" w:color="auto" w:fill="auto"/>
            <w:noWrap/>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序号</w:t>
            </w:r>
          </w:p>
        </w:tc>
        <w:tc>
          <w:tcPr>
            <w:tcW w:w="1265" w:type="dxa"/>
            <w:vMerge w:val="restart"/>
            <w:tcBorders>
              <w:top w:val="single" w:color="auto" w:sz="4" w:space="0"/>
              <w:left w:val="single" w:color="auto" w:sz="4" w:space="0"/>
              <w:right w:val="single" w:color="auto" w:sz="4" w:space="0"/>
            </w:tcBorders>
            <w:shd w:val="clear" w:color="auto" w:fill="auto"/>
            <w:noWrap/>
            <w:vAlign w:val="center"/>
          </w:tcPr>
          <w:p>
            <w:pPr>
              <w:spacing w:line="240" w:lineRule="auto"/>
              <w:ind w:firstLine="199" w:firstLineChars="95"/>
              <w:jc w:val="center"/>
              <w:rPr>
                <w:rFonts w:eastAsia="黑体" w:cs="Times New Roman"/>
                <w:kern w:val="0"/>
                <w:sz w:val="21"/>
                <w:szCs w:val="21"/>
              </w:rPr>
            </w:pPr>
            <w:r>
              <w:rPr>
                <w:rFonts w:eastAsia="黑体" w:cs="Times New Roman"/>
                <w:kern w:val="0"/>
                <w:sz w:val="21"/>
                <w:szCs w:val="21"/>
              </w:rPr>
              <w:t>乡镇</w:t>
            </w:r>
          </w:p>
        </w:tc>
        <w:tc>
          <w:tcPr>
            <w:tcW w:w="1793" w:type="dxa"/>
            <w:gridSpan w:val="2"/>
            <w:vMerge w:val="restart"/>
            <w:tcBorders>
              <w:top w:val="single" w:color="auto" w:sz="4" w:space="0"/>
              <w:left w:val="nil"/>
              <w:right w:val="single" w:color="auto" w:sz="4" w:space="0"/>
            </w:tcBorders>
            <w:shd w:val="clear" w:color="auto" w:fill="auto"/>
            <w:noWrap/>
            <w:vAlign w:val="center"/>
          </w:tcPr>
          <w:p>
            <w:pPr>
              <w:spacing w:line="240" w:lineRule="auto"/>
              <w:ind w:firstLine="0" w:firstLineChars="0"/>
              <w:jc w:val="center"/>
              <w:rPr>
                <w:rFonts w:eastAsia="黑体" w:cs="Times New Roman"/>
                <w:kern w:val="0"/>
                <w:sz w:val="21"/>
                <w:szCs w:val="21"/>
              </w:rPr>
            </w:pPr>
            <w:r>
              <w:rPr>
                <w:rFonts w:hint="eastAsia" w:eastAsia="黑体" w:cs="Times New Roman"/>
                <w:kern w:val="0"/>
                <w:sz w:val="21"/>
                <w:szCs w:val="21"/>
              </w:rPr>
              <w:t>集中式供水</w:t>
            </w:r>
          </w:p>
        </w:tc>
        <w:tc>
          <w:tcPr>
            <w:tcW w:w="3319" w:type="dxa"/>
            <w:gridSpan w:val="4"/>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自备水</w:t>
            </w:r>
          </w:p>
        </w:tc>
        <w:tc>
          <w:tcPr>
            <w:tcW w:w="1815" w:type="dxa"/>
            <w:gridSpan w:val="2"/>
            <w:vMerge w:val="restart"/>
            <w:tcBorders>
              <w:top w:val="single" w:color="auto" w:sz="4" w:space="0"/>
              <w:left w:val="single" w:color="auto" w:sz="4" w:space="0"/>
              <w:right w:val="single" w:color="auto" w:sz="4" w:space="0"/>
            </w:tcBorders>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其他（河水、井水、山泉水、山上取水、挑水、深井水）</w:t>
            </w:r>
          </w:p>
        </w:tc>
      </w:tr>
      <w:tr>
        <w:tblPrEx>
          <w:tblCellMar>
            <w:top w:w="0" w:type="dxa"/>
            <w:left w:w="108" w:type="dxa"/>
            <w:bottom w:w="0" w:type="dxa"/>
            <w:right w:w="108" w:type="dxa"/>
          </w:tblCellMar>
        </w:tblPrEx>
        <w:trPr>
          <w:trHeight w:val="300" w:hRule="atLeast"/>
          <w:jc w:val="center"/>
        </w:trPr>
        <w:tc>
          <w:tcPr>
            <w:tcW w:w="571" w:type="dxa"/>
            <w:vMerge w:val="continue"/>
            <w:tcBorders>
              <w:left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p>
        </w:tc>
        <w:tc>
          <w:tcPr>
            <w:tcW w:w="1265" w:type="dxa"/>
            <w:vMerge w:val="continue"/>
            <w:tcBorders>
              <w:left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p>
        </w:tc>
        <w:tc>
          <w:tcPr>
            <w:tcW w:w="1793" w:type="dxa"/>
            <w:gridSpan w:val="2"/>
            <w:vMerge w:val="continue"/>
            <w:tcBorders>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p>
        </w:tc>
        <w:tc>
          <w:tcPr>
            <w:tcW w:w="1681" w:type="dxa"/>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供水点</w:t>
            </w:r>
            <w:r>
              <w:rPr>
                <w:rFonts w:hint="eastAsia" w:eastAsia="黑体" w:cs="Times New Roman"/>
                <w:kern w:val="0"/>
                <w:sz w:val="21"/>
                <w:szCs w:val="21"/>
              </w:rPr>
              <w:t>集中</w:t>
            </w:r>
            <w:r>
              <w:rPr>
                <w:rFonts w:eastAsia="黑体" w:cs="Times New Roman"/>
                <w:kern w:val="0"/>
                <w:sz w:val="21"/>
                <w:szCs w:val="21"/>
              </w:rPr>
              <w:t>供水</w:t>
            </w:r>
          </w:p>
        </w:tc>
        <w:tc>
          <w:tcPr>
            <w:tcW w:w="1638" w:type="dxa"/>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旱井</w:t>
            </w:r>
          </w:p>
        </w:tc>
        <w:tc>
          <w:tcPr>
            <w:tcW w:w="1815" w:type="dxa"/>
            <w:gridSpan w:val="2"/>
            <w:vMerge w:val="continue"/>
            <w:tcBorders>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黑体" w:cs="Times New Roman"/>
                <w:kern w:val="0"/>
                <w:sz w:val="21"/>
                <w:szCs w:val="21"/>
              </w:rPr>
            </w:pPr>
          </w:p>
        </w:tc>
      </w:tr>
      <w:tr>
        <w:tblPrEx>
          <w:tblCellMar>
            <w:top w:w="0" w:type="dxa"/>
            <w:left w:w="108" w:type="dxa"/>
            <w:bottom w:w="0" w:type="dxa"/>
            <w:right w:w="108" w:type="dxa"/>
          </w:tblCellMar>
        </w:tblPrEx>
        <w:trPr>
          <w:trHeight w:val="300" w:hRule="atLeast"/>
          <w:jc w:val="center"/>
        </w:trPr>
        <w:tc>
          <w:tcPr>
            <w:tcW w:w="571" w:type="dxa"/>
            <w:vMerge w:val="continue"/>
            <w:tcBorders>
              <w:left w:val="single" w:color="auto" w:sz="4" w:space="0"/>
              <w:bottom w:val="single" w:color="000000" w:sz="4" w:space="0"/>
              <w:right w:val="single" w:color="auto" w:sz="4" w:space="0"/>
            </w:tcBorders>
            <w:vAlign w:val="center"/>
          </w:tcPr>
          <w:p>
            <w:pPr>
              <w:widowControl/>
              <w:spacing w:line="240" w:lineRule="auto"/>
              <w:ind w:firstLine="0" w:firstLineChars="0"/>
              <w:jc w:val="center"/>
              <w:rPr>
                <w:rFonts w:eastAsia="黑体" w:cs="Times New Roman"/>
                <w:kern w:val="0"/>
                <w:sz w:val="21"/>
                <w:szCs w:val="21"/>
              </w:rPr>
            </w:pPr>
          </w:p>
        </w:tc>
        <w:tc>
          <w:tcPr>
            <w:tcW w:w="1265" w:type="dxa"/>
            <w:vMerge w:val="continue"/>
            <w:tcBorders>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黑体" w:cs="Times New Roman"/>
                <w:kern w:val="0"/>
                <w:sz w:val="21"/>
                <w:szCs w:val="21"/>
              </w:rPr>
            </w:pPr>
          </w:p>
        </w:tc>
        <w:tc>
          <w:tcPr>
            <w:tcW w:w="92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7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人口</w:t>
            </w:r>
          </w:p>
        </w:tc>
        <w:tc>
          <w:tcPr>
            <w:tcW w:w="873"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0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人口</w:t>
            </w:r>
          </w:p>
        </w:tc>
        <w:tc>
          <w:tcPr>
            <w:tcW w:w="8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79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人口</w:t>
            </w:r>
          </w:p>
        </w:tc>
        <w:tc>
          <w:tcPr>
            <w:tcW w:w="823"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99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人口</w:t>
            </w:r>
          </w:p>
        </w:tc>
      </w:tr>
      <w:tr>
        <w:tblPrEx>
          <w:tblCellMar>
            <w:top w:w="0" w:type="dxa"/>
            <w:left w:w="108" w:type="dxa"/>
            <w:bottom w:w="0" w:type="dxa"/>
            <w:right w:w="108" w:type="dxa"/>
          </w:tblCellMar>
        </w:tblPrEx>
        <w:trPr>
          <w:trHeight w:val="300" w:hRule="atLeast"/>
          <w:jc w:val="center"/>
        </w:trPr>
        <w:tc>
          <w:tcPr>
            <w:tcW w:w="57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w:t>
            </w:r>
          </w:p>
        </w:tc>
        <w:tc>
          <w:tcPr>
            <w:tcW w:w="1265"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sz w:val="21"/>
              </w:rPr>
              <w:t>林遮峪乡</w:t>
            </w:r>
          </w:p>
        </w:tc>
        <w:tc>
          <w:tcPr>
            <w:tcW w:w="92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0</w:t>
            </w:r>
          </w:p>
        </w:tc>
        <w:tc>
          <w:tcPr>
            <w:tcW w:w="87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0</w:t>
            </w:r>
          </w:p>
        </w:tc>
        <w:tc>
          <w:tcPr>
            <w:tcW w:w="873"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100</w:t>
            </w:r>
          </w:p>
        </w:tc>
        <w:tc>
          <w:tcPr>
            <w:tcW w:w="80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100</w:t>
            </w:r>
          </w:p>
        </w:tc>
        <w:tc>
          <w:tcPr>
            <w:tcW w:w="8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c>
          <w:tcPr>
            <w:tcW w:w="79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c>
          <w:tcPr>
            <w:tcW w:w="823"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c>
          <w:tcPr>
            <w:tcW w:w="99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r>
      <w:tr>
        <w:tblPrEx>
          <w:tblCellMar>
            <w:top w:w="0" w:type="dxa"/>
            <w:left w:w="108" w:type="dxa"/>
            <w:bottom w:w="0" w:type="dxa"/>
            <w:right w:w="108" w:type="dxa"/>
          </w:tblCellMar>
        </w:tblPrEx>
        <w:trPr>
          <w:trHeight w:val="300" w:hRule="atLeast"/>
          <w:jc w:val="center"/>
        </w:trPr>
        <w:tc>
          <w:tcPr>
            <w:tcW w:w="57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2</w:t>
            </w:r>
          </w:p>
        </w:tc>
        <w:tc>
          <w:tcPr>
            <w:tcW w:w="1265"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土崖塔乡</w:t>
            </w:r>
          </w:p>
        </w:tc>
        <w:tc>
          <w:tcPr>
            <w:tcW w:w="92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0</w:t>
            </w:r>
          </w:p>
        </w:tc>
        <w:tc>
          <w:tcPr>
            <w:tcW w:w="87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0</w:t>
            </w:r>
          </w:p>
        </w:tc>
        <w:tc>
          <w:tcPr>
            <w:tcW w:w="873"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100</w:t>
            </w:r>
          </w:p>
        </w:tc>
        <w:tc>
          <w:tcPr>
            <w:tcW w:w="80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100</w:t>
            </w:r>
          </w:p>
        </w:tc>
        <w:tc>
          <w:tcPr>
            <w:tcW w:w="8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c>
          <w:tcPr>
            <w:tcW w:w="79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c>
          <w:tcPr>
            <w:tcW w:w="823"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c>
          <w:tcPr>
            <w:tcW w:w="99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r>
      <w:tr>
        <w:tblPrEx>
          <w:tblCellMar>
            <w:top w:w="0" w:type="dxa"/>
            <w:left w:w="108" w:type="dxa"/>
            <w:bottom w:w="0" w:type="dxa"/>
            <w:right w:w="108" w:type="dxa"/>
          </w:tblCellMar>
        </w:tblPrEx>
        <w:trPr>
          <w:trHeight w:val="300" w:hRule="atLeast"/>
          <w:jc w:val="center"/>
        </w:trPr>
        <w:tc>
          <w:tcPr>
            <w:tcW w:w="57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3</w:t>
            </w:r>
          </w:p>
        </w:tc>
        <w:tc>
          <w:tcPr>
            <w:tcW w:w="1265"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冯家川乡</w:t>
            </w:r>
          </w:p>
        </w:tc>
        <w:tc>
          <w:tcPr>
            <w:tcW w:w="92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0</w:t>
            </w:r>
          </w:p>
        </w:tc>
        <w:tc>
          <w:tcPr>
            <w:tcW w:w="87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0</w:t>
            </w:r>
          </w:p>
        </w:tc>
        <w:tc>
          <w:tcPr>
            <w:tcW w:w="873"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100</w:t>
            </w:r>
          </w:p>
        </w:tc>
        <w:tc>
          <w:tcPr>
            <w:tcW w:w="80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100</w:t>
            </w:r>
          </w:p>
        </w:tc>
        <w:tc>
          <w:tcPr>
            <w:tcW w:w="8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c>
          <w:tcPr>
            <w:tcW w:w="79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c>
          <w:tcPr>
            <w:tcW w:w="823"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c>
          <w:tcPr>
            <w:tcW w:w="99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r>
      <w:tr>
        <w:tblPrEx>
          <w:tblCellMar>
            <w:top w:w="0" w:type="dxa"/>
            <w:left w:w="108" w:type="dxa"/>
            <w:bottom w:w="0" w:type="dxa"/>
            <w:right w:w="108" w:type="dxa"/>
          </w:tblCellMar>
        </w:tblPrEx>
        <w:trPr>
          <w:trHeight w:val="300" w:hRule="atLeast"/>
          <w:jc w:val="center"/>
        </w:trPr>
        <w:tc>
          <w:tcPr>
            <w:tcW w:w="57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4</w:t>
            </w:r>
          </w:p>
        </w:tc>
        <w:tc>
          <w:tcPr>
            <w:tcW w:w="1265"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南河沟乡</w:t>
            </w:r>
          </w:p>
        </w:tc>
        <w:tc>
          <w:tcPr>
            <w:tcW w:w="92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0</w:t>
            </w:r>
          </w:p>
        </w:tc>
        <w:tc>
          <w:tcPr>
            <w:tcW w:w="87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0</w:t>
            </w:r>
          </w:p>
        </w:tc>
        <w:tc>
          <w:tcPr>
            <w:tcW w:w="873"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100</w:t>
            </w:r>
          </w:p>
        </w:tc>
        <w:tc>
          <w:tcPr>
            <w:tcW w:w="80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100</w:t>
            </w:r>
          </w:p>
        </w:tc>
        <w:tc>
          <w:tcPr>
            <w:tcW w:w="8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c>
          <w:tcPr>
            <w:tcW w:w="79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c>
          <w:tcPr>
            <w:tcW w:w="823"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c>
          <w:tcPr>
            <w:tcW w:w="99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r>
      <w:tr>
        <w:tblPrEx>
          <w:tblCellMar>
            <w:top w:w="0" w:type="dxa"/>
            <w:left w:w="108" w:type="dxa"/>
            <w:bottom w:w="0" w:type="dxa"/>
            <w:right w:w="108" w:type="dxa"/>
          </w:tblCellMar>
        </w:tblPrEx>
        <w:trPr>
          <w:trHeight w:val="300" w:hRule="atLeast"/>
          <w:jc w:val="center"/>
        </w:trPr>
        <w:tc>
          <w:tcPr>
            <w:tcW w:w="57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5</w:t>
            </w:r>
          </w:p>
        </w:tc>
        <w:tc>
          <w:tcPr>
            <w:tcW w:w="1265"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sz w:val="21"/>
              </w:rPr>
            </w:pPr>
            <w:r>
              <w:rPr>
                <w:rFonts w:cs="Times New Roman"/>
                <w:sz w:val="21"/>
              </w:rPr>
              <w:t>腰庄乡</w:t>
            </w:r>
          </w:p>
        </w:tc>
        <w:tc>
          <w:tcPr>
            <w:tcW w:w="92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c>
          <w:tcPr>
            <w:tcW w:w="87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0</w:t>
            </w:r>
          </w:p>
        </w:tc>
        <w:tc>
          <w:tcPr>
            <w:tcW w:w="873"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81.3</w:t>
            </w:r>
          </w:p>
        </w:tc>
        <w:tc>
          <w:tcPr>
            <w:tcW w:w="80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94.06</w:t>
            </w:r>
          </w:p>
        </w:tc>
        <w:tc>
          <w:tcPr>
            <w:tcW w:w="8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18.7</w:t>
            </w:r>
          </w:p>
        </w:tc>
        <w:tc>
          <w:tcPr>
            <w:tcW w:w="79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5.94</w:t>
            </w:r>
          </w:p>
        </w:tc>
        <w:tc>
          <w:tcPr>
            <w:tcW w:w="823"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c>
          <w:tcPr>
            <w:tcW w:w="99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r>
      <w:tr>
        <w:tblPrEx>
          <w:tblCellMar>
            <w:top w:w="0" w:type="dxa"/>
            <w:left w:w="108" w:type="dxa"/>
            <w:bottom w:w="0" w:type="dxa"/>
            <w:right w:w="108" w:type="dxa"/>
          </w:tblCellMar>
        </w:tblPrEx>
        <w:trPr>
          <w:trHeight w:val="300" w:hRule="atLeast"/>
          <w:jc w:val="center"/>
        </w:trPr>
        <w:tc>
          <w:tcPr>
            <w:tcW w:w="57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6</w:t>
            </w:r>
          </w:p>
        </w:tc>
        <w:tc>
          <w:tcPr>
            <w:tcW w:w="1265"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sz w:val="21"/>
              </w:rPr>
            </w:pPr>
            <w:r>
              <w:rPr>
                <w:rFonts w:cs="Times New Roman"/>
                <w:sz w:val="21"/>
              </w:rPr>
              <w:t>东关镇</w:t>
            </w:r>
          </w:p>
        </w:tc>
        <w:tc>
          <w:tcPr>
            <w:tcW w:w="92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87.0</w:t>
            </w:r>
          </w:p>
        </w:tc>
        <w:tc>
          <w:tcPr>
            <w:tcW w:w="87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98.38</w:t>
            </w:r>
          </w:p>
        </w:tc>
        <w:tc>
          <w:tcPr>
            <w:tcW w:w="873"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c>
          <w:tcPr>
            <w:tcW w:w="80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c>
          <w:tcPr>
            <w:tcW w:w="8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13.0</w:t>
            </w:r>
          </w:p>
        </w:tc>
        <w:tc>
          <w:tcPr>
            <w:tcW w:w="79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1.62</w:t>
            </w:r>
          </w:p>
        </w:tc>
        <w:tc>
          <w:tcPr>
            <w:tcW w:w="823"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c>
          <w:tcPr>
            <w:tcW w:w="99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r>
      <w:tr>
        <w:tblPrEx>
          <w:tblCellMar>
            <w:top w:w="0" w:type="dxa"/>
            <w:left w:w="108" w:type="dxa"/>
            <w:bottom w:w="0" w:type="dxa"/>
            <w:right w:w="108" w:type="dxa"/>
          </w:tblCellMar>
        </w:tblPrEx>
        <w:trPr>
          <w:trHeight w:val="300" w:hRule="atLeast"/>
          <w:jc w:val="center"/>
        </w:trPr>
        <w:tc>
          <w:tcPr>
            <w:tcW w:w="57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7</w:t>
            </w:r>
          </w:p>
        </w:tc>
        <w:tc>
          <w:tcPr>
            <w:tcW w:w="1265"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sz w:val="21"/>
              </w:rPr>
            </w:pPr>
            <w:r>
              <w:rPr>
                <w:rFonts w:cs="Times New Roman"/>
                <w:sz w:val="21"/>
              </w:rPr>
              <w:t>桥头镇</w:t>
            </w:r>
          </w:p>
        </w:tc>
        <w:tc>
          <w:tcPr>
            <w:tcW w:w="92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0</w:t>
            </w:r>
          </w:p>
        </w:tc>
        <w:tc>
          <w:tcPr>
            <w:tcW w:w="87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0</w:t>
            </w:r>
          </w:p>
        </w:tc>
        <w:tc>
          <w:tcPr>
            <w:tcW w:w="873"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48.15</w:t>
            </w:r>
          </w:p>
        </w:tc>
        <w:tc>
          <w:tcPr>
            <w:tcW w:w="80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32.41</w:t>
            </w:r>
          </w:p>
        </w:tc>
        <w:tc>
          <w:tcPr>
            <w:tcW w:w="8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51.85</w:t>
            </w:r>
          </w:p>
        </w:tc>
        <w:tc>
          <w:tcPr>
            <w:tcW w:w="79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67.59</w:t>
            </w:r>
          </w:p>
        </w:tc>
        <w:tc>
          <w:tcPr>
            <w:tcW w:w="823"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c>
          <w:tcPr>
            <w:tcW w:w="99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r>
      <w:tr>
        <w:tblPrEx>
          <w:tblCellMar>
            <w:top w:w="0" w:type="dxa"/>
            <w:left w:w="108" w:type="dxa"/>
            <w:bottom w:w="0" w:type="dxa"/>
            <w:right w:w="108" w:type="dxa"/>
          </w:tblCellMar>
        </w:tblPrEx>
        <w:trPr>
          <w:trHeight w:val="300" w:hRule="atLeast"/>
          <w:jc w:val="center"/>
        </w:trPr>
        <w:tc>
          <w:tcPr>
            <w:tcW w:w="57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8</w:t>
            </w:r>
          </w:p>
        </w:tc>
        <w:tc>
          <w:tcPr>
            <w:tcW w:w="1265"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sz w:val="21"/>
              </w:rPr>
            </w:pPr>
            <w:r>
              <w:rPr>
                <w:rFonts w:cs="Times New Roman"/>
                <w:sz w:val="21"/>
              </w:rPr>
              <w:t>杨家湾镇</w:t>
            </w:r>
          </w:p>
        </w:tc>
        <w:tc>
          <w:tcPr>
            <w:tcW w:w="92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c>
          <w:tcPr>
            <w:tcW w:w="87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c>
          <w:tcPr>
            <w:tcW w:w="873"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72.22</w:t>
            </w:r>
          </w:p>
        </w:tc>
        <w:tc>
          <w:tcPr>
            <w:tcW w:w="80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68.58</w:t>
            </w:r>
          </w:p>
        </w:tc>
        <w:tc>
          <w:tcPr>
            <w:tcW w:w="8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11.11</w:t>
            </w:r>
          </w:p>
        </w:tc>
        <w:tc>
          <w:tcPr>
            <w:tcW w:w="79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7.76</w:t>
            </w:r>
          </w:p>
        </w:tc>
        <w:tc>
          <w:tcPr>
            <w:tcW w:w="823"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16.67</w:t>
            </w:r>
          </w:p>
        </w:tc>
        <w:tc>
          <w:tcPr>
            <w:tcW w:w="99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23.66</w:t>
            </w:r>
          </w:p>
        </w:tc>
      </w:tr>
      <w:tr>
        <w:tblPrEx>
          <w:tblCellMar>
            <w:top w:w="0" w:type="dxa"/>
            <w:left w:w="108" w:type="dxa"/>
            <w:bottom w:w="0" w:type="dxa"/>
            <w:right w:w="108" w:type="dxa"/>
          </w:tblCellMar>
        </w:tblPrEx>
        <w:trPr>
          <w:trHeight w:val="300" w:hRule="atLeast"/>
          <w:jc w:val="center"/>
        </w:trPr>
        <w:tc>
          <w:tcPr>
            <w:tcW w:w="57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9</w:t>
            </w:r>
          </w:p>
        </w:tc>
        <w:tc>
          <w:tcPr>
            <w:tcW w:w="1265"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sz w:val="21"/>
              </w:rPr>
            </w:pPr>
            <w:r>
              <w:rPr>
                <w:rFonts w:cs="Times New Roman"/>
                <w:sz w:val="21"/>
              </w:rPr>
              <w:t>韩家川乡</w:t>
            </w:r>
          </w:p>
        </w:tc>
        <w:tc>
          <w:tcPr>
            <w:tcW w:w="92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0</w:t>
            </w:r>
          </w:p>
        </w:tc>
        <w:tc>
          <w:tcPr>
            <w:tcW w:w="87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0</w:t>
            </w:r>
          </w:p>
        </w:tc>
        <w:tc>
          <w:tcPr>
            <w:tcW w:w="873"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18.18</w:t>
            </w:r>
          </w:p>
        </w:tc>
        <w:tc>
          <w:tcPr>
            <w:tcW w:w="80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15.63</w:t>
            </w:r>
          </w:p>
        </w:tc>
        <w:tc>
          <w:tcPr>
            <w:tcW w:w="8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63.64</w:t>
            </w:r>
          </w:p>
        </w:tc>
        <w:tc>
          <w:tcPr>
            <w:tcW w:w="79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45.31</w:t>
            </w:r>
          </w:p>
        </w:tc>
        <w:tc>
          <w:tcPr>
            <w:tcW w:w="823"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18.18</w:t>
            </w:r>
          </w:p>
        </w:tc>
        <w:tc>
          <w:tcPr>
            <w:tcW w:w="99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39.06</w:t>
            </w:r>
          </w:p>
        </w:tc>
      </w:tr>
      <w:tr>
        <w:tblPrEx>
          <w:tblCellMar>
            <w:top w:w="0" w:type="dxa"/>
            <w:left w:w="108" w:type="dxa"/>
            <w:bottom w:w="0" w:type="dxa"/>
            <w:right w:w="108" w:type="dxa"/>
          </w:tblCellMar>
        </w:tblPrEx>
        <w:trPr>
          <w:trHeight w:val="300" w:hRule="atLeast"/>
          <w:jc w:val="center"/>
        </w:trPr>
        <w:tc>
          <w:tcPr>
            <w:tcW w:w="57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10</w:t>
            </w:r>
          </w:p>
        </w:tc>
        <w:tc>
          <w:tcPr>
            <w:tcW w:w="1265"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sz w:val="21"/>
              </w:rPr>
            </w:pPr>
            <w:r>
              <w:rPr>
                <w:rFonts w:cs="Times New Roman"/>
                <w:sz w:val="21"/>
              </w:rPr>
              <w:t>孙家沟乡</w:t>
            </w:r>
          </w:p>
        </w:tc>
        <w:tc>
          <w:tcPr>
            <w:tcW w:w="92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0</w:t>
            </w:r>
          </w:p>
        </w:tc>
        <w:tc>
          <w:tcPr>
            <w:tcW w:w="87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0</w:t>
            </w:r>
          </w:p>
        </w:tc>
        <w:tc>
          <w:tcPr>
            <w:tcW w:w="873"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10.00</w:t>
            </w:r>
          </w:p>
        </w:tc>
        <w:tc>
          <w:tcPr>
            <w:tcW w:w="80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9.60</w:t>
            </w:r>
          </w:p>
        </w:tc>
        <w:tc>
          <w:tcPr>
            <w:tcW w:w="8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50.0</w:t>
            </w:r>
          </w:p>
        </w:tc>
        <w:tc>
          <w:tcPr>
            <w:tcW w:w="79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59.11</w:t>
            </w:r>
          </w:p>
        </w:tc>
        <w:tc>
          <w:tcPr>
            <w:tcW w:w="823"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40.0</w:t>
            </w:r>
          </w:p>
        </w:tc>
        <w:tc>
          <w:tcPr>
            <w:tcW w:w="99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31.29</w:t>
            </w:r>
          </w:p>
        </w:tc>
      </w:tr>
      <w:tr>
        <w:tblPrEx>
          <w:tblCellMar>
            <w:top w:w="0" w:type="dxa"/>
            <w:left w:w="108" w:type="dxa"/>
            <w:bottom w:w="0" w:type="dxa"/>
            <w:right w:w="108" w:type="dxa"/>
          </w:tblCellMar>
        </w:tblPrEx>
        <w:trPr>
          <w:trHeight w:val="300" w:hRule="atLeast"/>
          <w:jc w:val="center"/>
        </w:trPr>
        <w:tc>
          <w:tcPr>
            <w:tcW w:w="57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11</w:t>
            </w:r>
          </w:p>
        </w:tc>
        <w:tc>
          <w:tcPr>
            <w:tcW w:w="1265"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sz w:val="21"/>
              </w:rPr>
            </w:pPr>
            <w:r>
              <w:rPr>
                <w:rFonts w:cs="Times New Roman"/>
                <w:sz w:val="21"/>
              </w:rPr>
              <w:t>窑洼乡</w:t>
            </w:r>
          </w:p>
        </w:tc>
        <w:tc>
          <w:tcPr>
            <w:tcW w:w="92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0</w:t>
            </w:r>
          </w:p>
        </w:tc>
        <w:tc>
          <w:tcPr>
            <w:tcW w:w="87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0</w:t>
            </w:r>
          </w:p>
        </w:tc>
        <w:tc>
          <w:tcPr>
            <w:tcW w:w="873"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22.22</w:t>
            </w:r>
          </w:p>
        </w:tc>
        <w:tc>
          <w:tcPr>
            <w:tcW w:w="80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16.94</w:t>
            </w:r>
          </w:p>
        </w:tc>
        <w:tc>
          <w:tcPr>
            <w:tcW w:w="8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77.78</w:t>
            </w:r>
          </w:p>
        </w:tc>
        <w:tc>
          <w:tcPr>
            <w:tcW w:w="79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83.06</w:t>
            </w:r>
          </w:p>
        </w:tc>
        <w:tc>
          <w:tcPr>
            <w:tcW w:w="823"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c>
          <w:tcPr>
            <w:tcW w:w="99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r>
      <w:tr>
        <w:tblPrEx>
          <w:tblCellMar>
            <w:top w:w="0" w:type="dxa"/>
            <w:left w:w="108" w:type="dxa"/>
            <w:bottom w:w="0" w:type="dxa"/>
            <w:right w:w="108" w:type="dxa"/>
          </w:tblCellMar>
        </w:tblPrEx>
        <w:trPr>
          <w:trHeight w:val="300" w:hRule="atLeast"/>
          <w:jc w:val="center"/>
        </w:trPr>
        <w:tc>
          <w:tcPr>
            <w:tcW w:w="57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12</w:t>
            </w:r>
          </w:p>
        </w:tc>
        <w:tc>
          <w:tcPr>
            <w:tcW w:w="1265"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窑圪台乡</w:t>
            </w:r>
          </w:p>
        </w:tc>
        <w:tc>
          <w:tcPr>
            <w:tcW w:w="92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0</w:t>
            </w:r>
          </w:p>
        </w:tc>
        <w:tc>
          <w:tcPr>
            <w:tcW w:w="87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0</w:t>
            </w:r>
          </w:p>
        </w:tc>
        <w:tc>
          <w:tcPr>
            <w:tcW w:w="873"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10.0</w:t>
            </w:r>
          </w:p>
        </w:tc>
        <w:tc>
          <w:tcPr>
            <w:tcW w:w="80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9.57</w:t>
            </w:r>
          </w:p>
        </w:tc>
        <w:tc>
          <w:tcPr>
            <w:tcW w:w="8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90.0</w:t>
            </w:r>
          </w:p>
        </w:tc>
        <w:tc>
          <w:tcPr>
            <w:tcW w:w="79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90.43</w:t>
            </w:r>
          </w:p>
        </w:tc>
        <w:tc>
          <w:tcPr>
            <w:tcW w:w="823"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c>
          <w:tcPr>
            <w:tcW w:w="99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r>
      <w:tr>
        <w:tblPrEx>
          <w:tblCellMar>
            <w:top w:w="0" w:type="dxa"/>
            <w:left w:w="108" w:type="dxa"/>
            <w:bottom w:w="0" w:type="dxa"/>
            <w:right w:w="108" w:type="dxa"/>
          </w:tblCellMar>
        </w:tblPrEx>
        <w:trPr>
          <w:trHeight w:val="300" w:hRule="atLeast"/>
          <w:jc w:val="center"/>
        </w:trPr>
        <w:tc>
          <w:tcPr>
            <w:tcW w:w="57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13</w:t>
            </w:r>
          </w:p>
        </w:tc>
        <w:tc>
          <w:tcPr>
            <w:tcW w:w="1265"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义门镇</w:t>
            </w:r>
          </w:p>
        </w:tc>
        <w:tc>
          <w:tcPr>
            <w:tcW w:w="92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c>
          <w:tcPr>
            <w:tcW w:w="87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0</w:t>
            </w:r>
          </w:p>
        </w:tc>
        <w:tc>
          <w:tcPr>
            <w:tcW w:w="873"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83.33</w:t>
            </w:r>
          </w:p>
        </w:tc>
        <w:tc>
          <w:tcPr>
            <w:tcW w:w="80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85.07</w:t>
            </w:r>
          </w:p>
        </w:tc>
        <w:tc>
          <w:tcPr>
            <w:tcW w:w="8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16.67</w:t>
            </w:r>
          </w:p>
        </w:tc>
        <w:tc>
          <w:tcPr>
            <w:tcW w:w="79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14.93</w:t>
            </w:r>
          </w:p>
        </w:tc>
        <w:tc>
          <w:tcPr>
            <w:tcW w:w="823"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c>
          <w:tcPr>
            <w:tcW w:w="99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0</w:t>
            </w:r>
          </w:p>
        </w:tc>
      </w:tr>
      <w:tr>
        <w:tblPrEx>
          <w:tblCellMar>
            <w:top w:w="0" w:type="dxa"/>
            <w:left w:w="108" w:type="dxa"/>
            <w:bottom w:w="0" w:type="dxa"/>
            <w:right w:w="108" w:type="dxa"/>
          </w:tblCellMar>
        </w:tblPrEx>
        <w:trPr>
          <w:trHeight w:val="300" w:hRule="atLeast"/>
          <w:jc w:val="center"/>
        </w:trPr>
        <w:tc>
          <w:tcPr>
            <w:tcW w:w="1836"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sz w:val="21"/>
              </w:rPr>
            </w:pPr>
            <w:r>
              <w:rPr>
                <w:rFonts w:cs="Times New Roman"/>
                <w:sz w:val="21"/>
              </w:rPr>
              <w:t>总计</w:t>
            </w:r>
          </w:p>
        </w:tc>
        <w:tc>
          <w:tcPr>
            <w:tcW w:w="921"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46.82</w:t>
            </w:r>
          </w:p>
        </w:tc>
        <w:tc>
          <w:tcPr>
            <w:tcW w:w="872"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71.02</w:t>
            </w:r>
          </w:p>
        </w:tc>
        <w:tc>
          <w:tcPr>
            <w:tcW w:w="873"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18.64</w:t>
            </w:r>
          </w:p>
        </w:tc>
        <w:tc>
          <w:tcPr>
            <w:tcW w:w="808"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6.79</w:t>
            </w:r>
          </w:p>
        </w:tc>
        <w:tc>
          <w:tcPr>
            <w:tcW w:w="846"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27.73</w:t>
            </w:r>
          </w:p>
        </w:tc>
        <w:tc>
          <w:tcPr>
            <w:tcW w:w="792"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18.86</w:t>
            </w:r>
          </w:p>
        </w:tc>
        <w:tc>
          <w:tcPr>
            <w:tcW w:w="823"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5.45</w:t>
            </w:r>
          </w:p>
        </w:tc>
        <w:tc>
          <w:tcPr>
            <w:tcW w:w="99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3.30</w:t>
            </w:r>
          </w:p>
        </w:tc>
      </w:tr>
    </w:tbl>
    <w:p>
      <w:pPr>
        <w:pStyle w:val="8"/>
        <w:spacing w:line="360" w:lineRule="auto"/>
        <w:rPr>
          <w:rFonts w:ascii="Times New Roman" w:hAnsi="Times New Roman" w:cs="Times New Roman"/>
        </w:rPr>
      </w:pPr>
      <w:r>
        <w:rPr>
          <w:rFonts w:ascii="Times New Roman" w:hAnsi="Times New Roman" w:cs="Times New Roman"/>
        </w:rPr>
        <w:t>3.1.2 生活污水</w:t>
      </w:r>
      <w:bookmarkEnd w:id="31"/>
      <w:r>
        <w:rPr>
          <w:rFonts w:ascii="Times New Roman" w:hAnsi="Times New Roman" w:cs="Times New Roman"/>
        </w:rPr>
        <w:t>特征</w:t>
      </w:r>
    </w:p>
    <w:p>
      <w:pPr>
        <w:pStyle w:val="9"/>
        <w:spacing w:line="360" w:lineRule="auto"/>
      </w:pPr>
      <w:r>
        <w:t>3.1.2.1 生活污水类型</w:t>
      </w:r>
    </w:p>
    <w:p>
      <w:pPr>
        <w:ind w:firstLine="480"/>
        <w:rPr>
          <w:rFonts w:cs="Times New Roman"/>
        </w:rPr>
      </w:pPr>
      <w:r>
        <w:rPr>
          <w:rFonts w:cs="Times New Roman"/>
        </w:rPr>
        <w:t>农村生活污水主要有黑水和灰水。黑水主要指居民生活过程中厕所排放的粪便污水；灰水为居民生活过程中产生的洗浴、洗衣和厨房污水等杂用水。</w:t>
      </w:r>
    </w:p>
    <w:p>
      <w:pPr>
        <w:ind w:firstLine="480"/>
        <w:rPr>
          <w:rFonts w:cs="Times New Roman"/>
        </w:rPr>
      </w:pPr>
      <w:r>
        <w:rPr>
          <w:rFonts w:cs="Times New Roman"/>
        </w:rPr>
        <w:t>农村生活污水主要可以分为厨房水、洗浴水、洗涤水和冲厕水四类，其中厨房水和洗浴水较为普遍，冲厕水与农村卫生条件直接相关，未进行水冲厕改造的地区，没有冲厕水产生。经过调研，保德县腰庄乡孙家墕村100%水冲厕、杨家湾镇故城村25%水冲厕、东关镇部分村（马家洼村、康家滩村、后沟村、庙梁村等100%水冲厕、陈家塔村95%水冲厕、郭家滩村90%水冲厕、张家圪塔村、王家滩村、马家滩村等80%水冲厕）水冲厕，污水以厨房水、洗浴水、洗涤水和冲厕水为主，其他地乡镇村落均为旱厕，污水以厨房水、洗浴水、洗涤水为主。</w:t>
      </w:r>
    </w:p>
    <w:p>
      <w:pPr>
        <w:pStyle w:val="9"/>
        <w:spacing w:line="360" w:lineRule="auto"/>
      </w:pPr>
      <w:r>
        <w:t>3.1.2.2 生活污水排放</w:t>
      </w:r>
    </w:p>
    <w:p>
      <w:pPr>
        <w:ind w:firstLine="480"/>
        <w:rPr>
          <w:rFonts w:cs="Times New Roman"/>
        </w:rPr>
      </w:pPr>
      <w:r>
        <w:rPr>
          <w:rFonts w:cs="Times New Roman"/>
        </w:rPr>
        <w:t>保德县只有部分村镇具备了污水管网排放的方式，绝大多数均以直排的方式排放。</w:t>
      </w:r>
    </w:p>
    <w:p>
      <w:pPr>
        <w:ind w:firstLine="569" w:firstLineChars="236"/>
        <w:rPr>
          <w:rFonts w:cs="Times New Roman"/>
          <w:b/>
        </w:rPr>
      </w:pPr>
      <w:r>
        <w:rPr>
          <w:rFonts w:cs="Times New Roman"/>
          <w:b/>
        </w:rPr>
        <w:t>1、林遮峪乡</w:t>
      </w:r>
    </w:p>
    <w:p>
      <w:pPr>
        <w:ind w:firstLine="480"/>
        <w:rPr>
          <w:rFonts w:cs="Times New Roman"/>
        </w:rPr>
      </w:pPr>
      <w:r>
        <w:rPr>
          <w:rFonts w:cs="Times New Roman"/>
        </w:rPr>
        <w:t>林遮峪乡下设刘家塔村、后村、霍家塔、林遮峪村、苇耳梁村、下川坪村、南里村、沙里、郝家庄村、元家山村、杜家峁村等11个行政村，常住人口1416人，人均污水排放量为3~25L/d，排放方式主要采取直排自然下渗的方式，目前善未建立且暂无规划建立生活污水处理设施。沿河三公里农村污水排放的行政村有后村、林遮峪、下川坪，所属流域为入黄流域。后村和下川坪村还有畜禽养殖产生的污水，排放方式也采取了直排下渗的方式。</w:t>
      </w:r>
    </w:p>
    <w:p>
      <w:pPr>
        <w:pStyle w:val="64"/>
        <w:rPr>
          <w:rFonts w:cs="Times New Roman"/>
        </w:rPr>
      </w:pPr>
      <w:r>
        <w:rPr>
          <w:rFonts w:cs="Times New Roman"/>
        </w:rPr>
        <w:drawing>
          <wp:inline distT="0" distB="0" distL="0" distR="0">
            <wp:extent cx="2519680" cy="3089910"/>
            <wp:effectExtent l="0" t="0" r="13970" b="152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20000" cy="3089910"/>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2519680" cy="3245485"/>
            <wp:effectExtent l="0" t="0" r="13970" b="1206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20000" cy="3245485"/>
                    </a:xfrm>
                    <a:prstGeom prst="rect">
                      <a:avLst/>
                    </a:prstGeom>
                    <a:noFill/>
                    <a:ln>
                      <a:noFill/>
                    </a:ln>
                  </pic:spPr>
                </pic:pic>
              </a:graphicData>
            </a:graphic>
          </wp:inline>
        </w:drawing>
      </w:r>
    </w:p>
    <w:p>
      <w:pPr>
        <w:pStyle w:val="64"/>
        <w:spacing w:line="240" w:lineRule="auto"/>
        <w:rPr>
          <w:rFonts w:eastAsia="宋体" w:cs="Times New Roman"/>
          <w:szCs w:val="22"/>
        </w:rPr>
      </w:pPr>
      <w:r>
        <w:rPr>
          <w:rFonts w:eastAsia="宋体" w:cs="Times New Roman"/>
          <w:szCs w:val="22"/>
        </w:rPr>
        <w:t>（左图为杜家峁村厕所，右图为郝家庄村收集井）</w:t>
      </w:r>
    </w:p>
    <w:p>
      <w:pPr>
        <w:pStyle w:val="64"/>
        <w:rPr>
          <w:rFonts w:cs="Times New Roman"/>
        </w:rPr>
      </w:pPr>
      <w:r>
        <w:rPr>
          <w:rFonts w:cs="Times New Roman"/>
        </w:rPr>
        <w:drawing>
          <wp:inline distT="0" distB="0" distL="0" distR="0">
            <wp:extent cx="2519680" cy="378079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13" cstate="print">
                      <a:extLst>
                        <a:ext uri="{28A0092B-C50C-407E-A947-70E740481C1C}">
                          <a14:useLocalDpi xmlns:a14="http://schemas.microsoft.com/office/drawing/2010/main" val="0"/>
                        </a:ext>
                      </a:extLst>
                    </a:blip>
                    <a:srcRect t="14370"/>
                    <a:stretch>
                      <a:fillRect/>
                    </a:stretch>
                  </pic:blipFill>
                  <pic:spPr>
                    <a:xfrm>
                      <a:off x="0" y="0"/>
                      <a:ext cx="2520000" cy="3781273"/>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2519045" cy="3771265"/>
            <wp:effectExtent l="0" t="0" r="0" b="63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26968" cy="3782809"/>
                    </a:xfrm>
                    <a:prstGeom prst="rect">
                      <a:avLst/>
                    </a:prstGeom>
                    <a:noFill/>
                    <a:ln>
                      <a:noFill/>
                    </a:ln>
                  </pic:spPr>
                </pic:pic>
              </a:graphicData>
            </a:graphic>
          </wp:inline>
        </w:drawing>
      </w:r>
    </w:p>
    <w:p>
      <w:pPr>
        <w:pStyle w:val="64"/>
        <w:spacing w:line="240" w:lineRule="auto"/>
        <w:rPr>
          <w:rFonts w:eastAsia="宋体" w:cs="Times New Roman"/>
          <w:szCs w:val="22"/>
        </w:rPr>
      </w:pPr>
      <w:r>
        <w:rPr>
          <w:rFonts w:eastAsia="宋体" w:cs="Times New Roman"/>
          <w:szCs w:val="22"/>
        </w:rPr>
        <w:t>（左图为后村排污口，右图为下川坪村排污口）</w:t>
      </w:r>
    </w:p>
    <w:p>
      <w:pPr>
        <w:pStyle w:val="64"/>
        <w:rPr>
          <w:rFonts w:cs="Times New Roman"/>
        </w:rPr>
      </w:pPr>
      <w:r>
        <w:rPr>
          <w:rFonts w:cs="Times New Roman"/>
        </w:rPr>
        <w:drawing>
          <wp:inline distT="0" distB="0" distL="0" distR="0">
            <wp:extent cx="2519045" cy="4050665"/>
            <wp:effectExtent l="0" t="0" r="0" b="698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15" cstate="print">
                      <a:extLst>
                        <a:ext uri="{28A0092B-C50C-407E-A947-70E740481C1C}">
                          <a14:useLocalDpi xmlns:a14="http://schemas.microsoft.com/office/drawing/2010/main" val="0"/>
                        </a:ext>
                      </a:extLst>
                    </a:blip>
                    <a:srcRect t="8242"/>
                    <a:stretch>
                      <a:fillRect/>
                    </a:stretch>
                  </pic:blipFill>
                  <pic:spPr>
                    <a:xfrm>
                      <a:off x="0" y="0"/>
                      <a:ext cx="2520000" cy="4051874"/>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2519680" cy="406019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16" cstate="print">
                      <a:extLst>
                        <a:ext uri="{28A0092B-C50C-407E-A947-70E740481C1C}">
                          <a14:useLocalDpi xmlns:a14="http://schemas.microsoft.com/office/drawing/2010/main" val="0"/>
                        </a:ext>
                      </a:extLst>
                    </a:blip>
                    <a:srcRect t="8031"/>
                    <a:stretch>
                      <a:fillRect/>
                    </a:stretch>
                  </pic:blipFill>
                  <pic:spPr>
                    <a:xfrm>
                      <a:off x="0" y="0"/>
                      <a:ext cx="2520000" cy="4061228"/>
                    </a:xfrm>
                    <a:prstGeom prst="rect">
                      <a:avLst/>
                    </a:prstGeom>
                    <a:noFill/>
                    <a:ln>
                      <a:noFill/>
                    </a:ln>
                  </pic:spPr>
                </pic:pic>
              </a:graphicData>
            </a:graphic>
          </wp:inline>
        </w:drawing>
      </w:r>
    </w:p>
    <w:p>
      <w:pPr>
        <w:pStyle w:val="64"/>
        <w:spacing w:line="240" w:lineRule="auto"/>
        <w:rPr>
          <w:rFonts w:eastAsia="黑体" w:cs="Times New Roman"/>
          <w:bCs/>
          <w:szCs w:val="20"/>
        </w:rPr>
      </w:pPr>
      <w:r>
        <w:rPr>
          <w:rFonts w:eastAsia="黑体" w:cs="Times New Roman"/>
          <w:bCs/>
          <w:szCs w:val="20"/>
        </w:rPr>
        <w:t>图 3</w:t>
      </w:r>
      <w:r>
        <w:rPr>
          <w:rFonts w:eastAsia="黑体" w:cs="Times New Roman"/>
          <w:bCs/>
          <w:szCs w:val="20"/>
        </w:rPr>
        <w:noBreakHyphen/>
      </w:r>
      <w:r>
        <w:rPr>
          <w:rFonts w:eastAsia="黑体" w:cs="Times New Roman"/>
          <w:bCs/>
          <w:szCs w:val="20"/>
        </w:rPr>
        <w:t>1  林遮峪乡现场调研图</w:t>
      </w:r>
    </w:p>
    <w:p>
      <w:pPr>
        <w:ind w:firstLine="482"/>
        <w:rPr>
          <w:rFonts w:cs="Times New Roman"/>
          <w:b/>
        </w:rPr>
      </w:pPr>
    </w:p>
    <w:p>
      <w:pPr>
        <w:ind w:firstLine="482"/>
        <w:rPr>
          <w:rFonts w:cs="Times New Roman"/>
          <w:b/>
        </w:rPr>
      </w:pPr>
      <w:r>
        <w:rPr>
          <w:rFonts w:cs="Times New Roman"/>
          <w:b/>
        </w:rPr>
        <w:t>2、土崖塔乡</w:t>
      </w:r>
    </w:p>
    <w:p>
      <w:pPr>
        <w:ind w:firstLine="480"/>
        <w:rPr>
          <w:rFonts w:cs="Times New Roman"/>
        </w:rPr>
      </w:pPr>
      <w:r>
        <w:rPr>
          <w:rFonts w:cs="Times New Roman"/>
        </w:rPr>
        <w:t>土崖塔乡下设神树梁、乔家塔、王家坡、姜家庄、安家山、西山头、西梁、路家局、依杏塔村、寨上、党家里、武家塔、土崖塔等13个行政村，常住人口766人，人均污水排放量为3~20L/d，排放方式主要采取直排自然下渗的方式，目前善未建立且暂无规划建立生活污水处理设施。沿河三公里农村污水排放的行政村有崖尧、高徐家湾，所属流域为岚漪河。</w:t>
      </w:r>
    </w:p>
    <w:p>
      <w:pPr>
        <w:pStyle w:val="64"/>
        <w:rPr>
          <w:rFonts w:cs="Times New Roman"/>
        </w:rPr>
      </w:pPr>
      <w:r>
        <w:rPr>
          <w:rFonts w:cs="Times New Roman"/>
        </w:rPr>
        <w:drawing>
          <wp:inline distT="0" distB="0" distL="0" distR="0">
            <wp:extent cx="2519680" cy="3426460"/>
            <wp:effectExtent l="0" t="0" r="0" b="254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20000" cy="3427084"/>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2519680" cy="3426460"/>
            <wp:effectExtent l="0" t="0" r="0" b="254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20000" cy="3427084"/>
                    </a:xfrm>
                    <a:prstGeom prst="rect">
                      <a:avLst/>
                    </a:prstGeom>
                    <a:noFill/>
                    <a:ln>
                      <a:noFill/>
                    </a:ln>
                  </pic:spPr>
                </pic:pic>
              </a:graphicData>
            </a:graphic>
          </wp:inline>
        </w:drawing>
      </w:r>
    </w:p>
    <w:p>
      <w:pPr>
        <w:pStyle w:val="64"/>
        <w:rPr>
          <w:rFonts w:cs="Times New Roman"/>
        </w:rPr>
      </w:pPr>
      <w:r>
        <w:rPr>
          <w:rFonts w:cs="Times New Roman"/>
        </w:rPr>
        <w:drawing>
          <wp:inline distT="0" distB="0" distL="0" distR="0">
            <wp:extent cx="1852930" cy="251968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53004" cy="2520000"/>
                    </a:xfrm>
                    <a:prstGeom prst="rect">
                      <a:avLst/>
                    </a:prstGeom>
                    <a:noFill/>
                    <a:ln>
                      <a:noFill/>
                    </a:ln>
                  </pic:spPr>
                </pic:pic>
              </a:graphicData>
            </a:graphic>
          </wp:inline>
        </w:drawing>
      </w:r>
      <w:r>
        <w:rPr>
          <w:rFonts w:cs="Times New Roman"/>
        </w:rPr>
        <w:drawing>
          <wp:inline distT="0" distB="0" distL="0" distR="0">
            <wp:extent cx="3426460" cy="2519680"/>
            <wp:effectExtent l="0" t="0" r="254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27084" cy="2520000"/>
                    </a:xfrm>
                    <a:prstGeom prst="rect">
                      <a:avLst/>
                    </a:prstGeom>
                    <a:noFill/>
                    <a:ln>
                      <a:noFill/>
                    </a:ln>
                  </pic:spPr>
                </pic:pic>
              </a:graphicData>
            </a:graphic>
          </wp:inline>
        </w:drawing>
      </w:r>
    </w:p>
    <w:p>
      <w:pPr>
        <w:pStyle w:val="64"/>
        <w:rPr>
          <w:rFonts w:cs="Times New Roman"/>
        </w:rPr>
      </w:pPr>
      <w:r>
        <w:rPr>
          <w:rFonts w:cs="Times New Roman"/>
        </w:rPr>
        <w:drawing>
          <wp:inline distT="0" distB="0" distL="0" distR="0">
            <wp:extent cx="2519680" cy="3426460"/>
            <wp:effectExtent l="0" t="0" r="0" b="254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20000" cy="3427084"/>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2519680" cy="3426460"/>
            <wp:effectExtent l="0" t="0" r="0" b="254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20000" cy="3427084"/>
                    </a:xfrm>
                    <a:prstGeom prst="rect">
                      <a:avLst/>
                    </a:prstGeom>
                    <a:noFill/>
                    <a:ln>
                      <a:noFill/>
                    </a:ln>
                  </pic:spPr>
                </pic:pic>
              </a:graphicData>
            </a:graphic>
          </wp:inline>
        </w:drawing>
      </w:r>
    </w:p>
    <w:p>
      <w:pPr>
        <w:pStyle w:val="64"/>
        <w:rPr>
          <w:rFonts w:eastAsia="黑体" w:cs="Times New Roman"/>
          <w:bCs/>
          <w:szCs w:val="20"/>
        </w:rPr>
      </w:pPr>
      <w:r>
        <w:rPr>
          <w:rFonts w:eastAsia="黑体" w:cs="Times New Roman"/>
          <w:bCs/>
          <w:szCs w:val="20"/>
        </w:rPr>
        <w:t>图 3</w:t>
      </w:r>
      <w:r>
        <w:rPr>
          <w:rFonts w:eastAsia="黑体" w:cs="Times New Roman"/>
          <w:bCs/>
          <w:szCs w:val="20"/>
        </w:rPr>
        <w:noBreakHyphen/>
      </w:r>
      <w:r>
        <w:rPr>
          <w:rFonts w:eastAsia="黑体" w:cs="Times New Roman"/>
          <w:bCs/>
          <w:szCs w:val="20"/>
        </w:rPr>
        <w:t>2土崖塔乡现场调研图</w:t>
      </w:r>
    </w:p>
    <w:p>
      <w:pPr>
        <w:ind w:firstLine="482"/>
        <w:rPr>
          <w:rFonts w:cs="Times New Roman"/>
          <w:b/>
        </w:rPr>
      </w:pPr>
      <w:r>
        <w:rPr>
          <w:rFonts w:cs="Times New Roman"/>
          <w:b/>
        </w:rPr>
        <w:t>3、冯家川乡</w:t>
      </w:r>
    </w:p>
    <w:p>
      <w:pPr>
        <w:ind w:firstLine="480"/>
        <w:rPr>
          <w:rFonts w:cs="Times New Roman"/>
        </w:rPr>
      </w:pPr>
      <w:r>
        <w:rPr>
          <w:rFonts w:cs="Times New Roman"/>
        </w:rPr>
        <w:t>冯家川乡下设神山村、后川村、王家辿村、武家沟村、沙坪、龙驼沟村、翟家塔村、冯家川村、孙家里村等9个行政村，常住人口1288人，人均污水排放量为5~25L/d，排放方式主要采取直排自然下渗的方式。沿河三公里农村污水排放的行政村有冯家川村、后川村、神山村、王家辿村，所属流域为入黄流域。其中冯家川村和后川村分别建成了25t和40t的污水处理设施，采用A/O处理工艺，排放标准均为III级，运行主体为冯家川乡政府，目前污水处理设施建成但由于污水收集较少未运行。其他行政村暂无规划建立生活污水处理设施。所有行政村均有畜禽养殖产生，排放方式也采取了直排下渗的方式。</w:t>
      </w:r>
    </w:p>
    <w:p>
      <w:pPr>
        <w:pStyle w:val="64"/>
        <w:jc w:val="left"/>
        <w:rPr>
          <w:rFonts w:cs="Times New Roman"/>
        </w:rPr>
      </w:pPr>
      <w:r>
        <w:rPr>
          <w:rFonts w:cs="Times New Roman"/>
        </w:rPr>
        <w:drawing>
          <wp:inline distT="0" distB="0" distL="0" distR="0">
            <wp:extent cx="2519680" cy="4414520"/>
            <wp:effectExtent l="0" t="0" r="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20000" cy="4414670"/>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2519680" cy="4414520"/>
            <wp:effectExtent l="0" t="0" r="0" b="508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20000" cy="4414670"/>
                    </a:xfrm>
                    <a:prstGeom prst="rect">
                      <a:avLst/>
                    </a:prstGeom>
                    <a:noFill/>
                    <a:ln>
                      <a:noFill/>
                    </a:ln>
                  </pic:spPr>
                </pic:pic>
              </a:graphicData>
            </a:graphic>
          </wp:inline>
        </w:drawing>
      </w:r>
    </w:p>
    <w:p>
      <w:pPr>
        <w:pStyle w:val="64"/>
        <w:jc w:val="left"/>
        <w:rPr>
          <w:rFonts w:cs="Times New Roman"/>
        </w:rPr>
      </w:pPr>
      <w:r>
        <w:rPr>
          <w:rFonts w:cs="Times New Roman"/>
        </w:rPr>
        <w:drawing>
          <wp:inline distT="0" distB="0" distL="0" distR="0">
            <wp:extent cx="2519680" cy="3426460"/>
            <wp:effectExtent l="0" t="0" r="0" b="254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20000" cy="3427084"/>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2519680" cy="3426460"/>
            <wp:effectExtent l="0" t="0" r="0" b="254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20000" cy="3427084"/>
                    </a:xfrm>
                    <a:prstGeom prst="rect">
                      <a:avLst/>
                    </a:prstGeom>
                    <a:noFill/>
                    <a:ln>
                      <a:noFill/>
                    </a:ln>
                  </pic:spPr>
                </pic:pic>
              </a:graphicData>
            </a:graphic>
          </wp:inline>
        </w:drawing>
      </w:r>
    </w:p>
    <w:p>
      <w:pPr>
        <w:pStyle w:val="64"/>
        <w:jc w:val="left"/>
        <w:rPr>
          <w:rFonts w:cs="Times New Roman"/>
        </w:rPr>
      </w:pPr>
      <w:r>
        <w:rPr>
          <w:rFonts w:cs="Times New Roman"/>
        </w:rPr>
        <w:drawing>
          <wp:inline distT="0" distB="0" distL="0" distR="0">
            <wp:extent cx="2519680" cy="3426460"/>
            <wp:effectExtent l="0" t="0" r="0" b="254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20000" cy="3427084"/>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2519680" cy="3426460"/>
            <wp:effectExtent l="0" t="0" r="0" b="254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20000" cy="3427084"/>
                    </a:xfrm>
                    <a:prstGeom prst="rect">
                      <a:avLst/>
                    </a:prstGeom>
                    <a:noFill/>
                    <a:ln>
                      <a:noFill/>
                    </a:ln>
                  </pic:spPr>
                </pic:pic>
              </a:graphicData>
            </a:graphic>
          </wp:inline>
        </w:drawing>
      </w:r>
    </w:p>
    <w:p>
      <w:pPr>
        <w:pStyle w:val="64"/>
        <w:rPr>
          <w:rFonts w:eastAsia="黑体" w:cs="Times New Roman"/>
          <w:bCs/>
          <w:szCs w:val="20"/>
        </w:rPr>
      </w:pPr>
      <w:r>
        <w:rPr>
          <w:rFonts w:eastAsia="黑体" w:cs="Times New Roman"/>
          <w:bCs/>
          <w:szCs w:val="20"/>
        </w:rPr>
        <w:t>图 3</w:t>
      </w:r>
      <w:r>
        <w:rPr>
          <w:rFonts w:eastAsia="黑体" w:cs="Times New Roman"/>
          <w:bCs/>
          <w:szCs w:val="20"/>
        </w:rPr>
        <w:noBreakHyphen/>
      </w:r>
      <w:r>
        <w:rPr>
          <w:rFonts w:eastAsia="黑体" w:cs="Times New Roman"/>
          <w:bCs/>
          <w:szCs w:val="20"/>
        </w:rPr>
        <w:t>3冯家川乡现场调研图</w:t>
      </w:r>
    </w:p>
    <w:p>
      <w:pPr>
        <w:ind w:firstLine="482"/>
        <w:rPr>
          <w:rFonts w:cs="Times New Roman"/>
          <w:b/>
        </w:rPr>
      </w:pPr>
      <w:r>
        <w:rPr>
          <w:rFonts w:cs="Times New Roman"/>
          <w:b/>
        </w:rPr>
        <w:t>4、南河沟乡</w:t>
      </w:r>
    </w:p>
    <w:p>
      <w:pPr>
        <w:pStyle w:val="64"/>
        <w:ind w:firstLine="566" w:firstLineChars="236"/>
        <w:jc w:val="both"/>
        <w:rPr>
          <w:rFonts w:eastAsia="宋体" w:cs="Times New Roman"/>
          <w:sz w:val="24"/>
          <w:szCs w:val="22"/>
        </w:rPr>
      </w:pPr>
      <w:r>
        <w:rPr>
          <w:rFonts w:eastAsia="宋体" w:cs="Times New Roman"/>
          <w:sz w:val="24"/>
          <w:szCs w:val="22"/>
        </w:rPr>
        <w:t>南河沟乡下设杏岭、刘家焉、中焉、丁家塔、尚家塔、石桥塔村、禅房、四井头、吉利坪、偏桥、姚家焉、李家湾、白家沟、韩家塔、大塔村、扒楼沟、刘家坡、南河沟、寨墕、杨家沟、东庄墕村、秦家河村、韩家焉村、雷家峁村、舍尔塔、营村、杨树沟等27个行政村，常住人口1828人，人均污水排放量为3~30L/d，排放方式主要采取直排自然下渗的方式。没有沿河三公里农村污水排放的行政村。所有行政村暂无规划建立生活污水处理设施。除了姚家焉、秦家河村、韩家焉村三个村落以外，其余行政村均有畜禽养殖产生，排放方式也采取了直排下渗的方式。</w:t>
      </w:r>
    </w:p>
    <w:p>
      <w:pPr>
        <w:pStyle w:val="64"/>
        <w:rPr>
          <w:rFonts w:cs="Times New Roman"/>
        </w:rPr>
      </w:pPr>
      <w:r>
        <w:rPr>
          <w:rFonts w:cs="Times New Roman"/>
        </w:rPr>
        <w:drawing>
          <wp:inline distT="0" distB="0" distL="0" distR="0">
            <wp:extent cx="1784985" cy="2339340"/>
            <wp:effectExtent l="0" t="0" r="5715" b="381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87154" cy="2341545"/>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3181985" cy="2339975"/>
            <wp:effectExtent l="0" t="0" r="0" b="3175"/>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82293" cy="2340000"/>
                    </a:xfrm>
                    <a:prstGeom prst="rect">
                      <a:avLst/>
                    </a:prstGeom>
                    <a:noFill/>
                    <a:ln>
                      <a:noFill/>
                    </a:ln>
                  </pic:spPr>
                </pic:pic>
              </a:graphicData>
            </a:graphic>
          </wp:inline>
        </w:drawing>
      </w:r>
    </w:p>
    <w:p>
      <w:pPr>
        <w:pStyle w:val="64"/>
        <w:ind w:firstLine="435"/>
        <w:jc w:val="left"/>
        <w:rPr>
          <w:rFonts w:cs="Times New Roman"/>
        </w:rPr>
      </w:pPr>
      <w:r>
        <w:rPr>
          <w:rFonts w:cs="Times New Roman"/>
        </w:rPr>
        <w:drawing>
          <wp:inline distT="0" distB="0" distL="0" distR="0">
            <wp:extent cx="3426460" cy="2519680"/>
            <wp:effectExtent l="0" t="0" r="254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27084" cy="2520000"/>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1614170" cy="2519045"/>
            <wp:effectExtent l="0" t="0" r="508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21481" cy="2529909"/>
                    </a:xfrm>
                    <a:prstGeom prst="rect">
                      <a:avLst/>
                    </a:prstGeom>
                    <a:noFill/>
                    <a:ln>
                      <a:noFill/>
                    </a:ln>
                  </pic:spPr>
                </pic:pic>
              </a:graphicData>
            </a:graphic>
          </wp:inline>
        </w:drawing>
      </w:r>
    </w:p>
    <w:p>
      <w:pPr>
        <w:pStyle w:val="64"/>
        <w:ind w:firstLine="435"/>
        <w:jc w:val="left"/>
        <w:rPr>
          <w:rFonts w:cs="Times New Roman"/>
        </w:rPr>
      </w:pPr>
      <w:r>
        <w:rPr>
          <w:rFonts w:cs="Times New Roman"/>
        </w:rPr>
        <w:drawing>
          <wp:inline distT="0" distB="0" distL="0" distR="0">
            <wp:extent cx="2519680" cy="3426460"/>
            <wp:effectExtent l="0" t="0" r="0" b="254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20000" cy="3427084"/>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2519680" cy="3426460"/>
            <wp:effectExtent l="0" t="0" r="0" b="254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20000" cy="3427082"/>
                    </a:xfrm>
                    <a:prstGeom prst="rect">
                      <a:avLst/>
                    </a:prstGeom>
                    <a:noFill/>
                    <a:ln>
                      <a:noFill/>
                    </a:ln>
                  </pic:spPr>
                </pic:pic>
              </a:graphicData>
            </a:graphic>
          </wp:inline>
        </w:drawing>
      </w:r>
    </w:p>
    <w:p>
      <w:pPr>
        <w:pStyle w:val="64"/>
        <w:rPr>
          <w:rFonts w:eastAsia="黑体" w:cs="Times New Roman"/>
          <w:bCs/>
          <w:szCs w:val="20"/>
        </w:rPr>
      </w:pPr>
      <w:r>
        <w:rPr>
          <w:rFonts w:eastAsia="黑体" w:cs="Times New Roman"/>
          <w:bCs/>
          <w:szCs w:val="20"/>
        </w:rPr>
        <w:t>图 3</w:t>
      </w:r>
      <w:r>
        <w:rPr>
          <w:rFonts w:eastAsia="黑体" w:cs="Times New Roman"/>
          <w:bCs/>
          <w:szCs w:val="20"/>
        </w:rPr>
        <w:noBreakHyphen/>
      </w:r>
      <w:r>
        <w:rPr>
          <w:rFonts w:eastAsia="黑体" w:cs="Times New Roman"/>
          <w:bCs/>
          <w:szCs w:val="20"/>
        </w:rPr>
        <w:t>4南河沟乡现场调研图</w:t>
      </w:r>
    </w:p>
    <w:p>
      <w:pPr>
        <w:ind w:firstLine="482"/>
        <w:rPr>
          <w:rFonts w:cs="Times New Roman"/>
          <w:b/>
        </w:rPr>
      </w:pPr>
      <w:r>
        <w:rPr>
          <w:rFonts w:cs="Times New Roman"/>
          <w:b/>
        </w:rPr>
        <w:t>5、腰庄乡</w:t>
      </w:r>
    </w:p>
    <w:p>
      <w:pPr>
        <w:ind w:firstLine="480"/>
        <w:rPr>
          <w:rFonts w:cs="Times New Roman"/>
        </w:rPr>
      </w:pPr>
      <w:r>
        <w:rPr>
          <w:rFonts w:cs="Times New Roman"/>
        </w:rPr>
        <w:t>腰庄乡下设白家墕村、代家沟、年延村、郭家峁、铺房墕、冀家沟、腰庄村、冀家峁、后芦子村、可王家里、马铺头、赵家峁、外盘塔村、孙家墕、路家沟、讲家沟等16个行政村，常住人口2627人，人均污水排放量为11~36L/d，排放方式主要采取直排自然下渗的方式。没有沿河三公里农村污水排放的行政村。所有行政村暂无规划建立生活污水处理设施。除了马铺头、赵家峁、外盘塔村、孙家墕四个村落以外，其余行政村均有畜禽养殖产生，排放方式也采取了直排下渗的方式。</w:t>
      </w:r>
    </w:p>
    <w:p>
      <w:pPr>
        <w:pStyle w:val="64"/>
        <w:rPr>
          <w:rFonts w:cs="Times New Roman"/>
        </w:rPr>
      </w:pPr>
      <w:r>
        <w:rPr>
          <w:rFonts w:cs="Times New Roman"/>
        </w:rPr>
        <w:drawing>
          <wp:inline distT="0" distB="0" distL="0" distR="0">
            <wp:extent cx="2519680" cy="3781425"/>
            <wp:effectExtent l="0" t="0" r="0" b="9525"/>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noChangeArrowheads="1"/>
                    </pic:cNvPicPr>
                  </pic:nvPicPr>
                  <pic:blipFill>
                    <a:blip r:embed="rId34" cstate="print">
                      <a:extLst>
                        <a:ext uri="{28A0092B-C50C-407E-A947-70E740481C1C}">
                          <a14:useLocalDpi xmlns:a14="http://schemas.microsoft.com/office/drawing/2010/main" val="0"/>
                        </a:ext>
                      </a:extLst>
                    </a:blip>
                    <a:srcRect t="14905"/>
                    <a:stretch>
                      <a:fillRect/>
                    </a:stretch>
                  </pic:blipFill>
                  <pic:spPr>
                    <a:xfrm>
                      <a:off x="0" y="0"/>
                      <a:ext cx="2520000" cy="3782444"/>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2688590" cy="3790315"/>
            <wp:effectExtent l="0" t="0" r="0" b="635"/>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noChangeArrowheads="1"/>
                    </pic:cNvPicPr>
                  </pic:nvPicPr>
                  <pic:blipFill>
                    <a:blip r:embed="rId35" cstate="print">
                      <a:extLst>
                        <a:ext uri="{28A0092B-C50C-407E-A947-70E740481C1C}">
                          <a14:useLocalDpi xmlns:a14="http://schemas.microsoft.com/office/drawing/2010/main" val="0"/>
                        </a:ext>
                      </a:extLst>
                    </a:blip>
                    <a:srcRect t="14699"/>
                    <a:stretch>
                      <a:fillRect/>
                    </a:stretch>
                  </pic:blipFill>
                  <pic:spPr>
                    <a:xfrm>
                      <a:off x="0" y="0"/>
                      <a:ext cx="2696506" cy="3801661"/>
                    </a:xfrm>
                    <a:prstGeom prst="rect">
                      <a:avLst/>
                    </a:prstGeom>
                    <a:noFill/>
                    <a:ln>
                      <a:noFill/>
                    </a:ln>
                  </pic:spPr>
                </pic:pic>
              </a:graphicData>
            </a:graphic>
          </wp:inline>
        </w:drawing>
      </w:r>
    </w:p>
    <w:p>
      <w:pPr>
        <w:pStyle w:val="64"/>
        <w:rPr>
          <w:rFonts w:cs="Times New Roman"/>
        </w:rPr>
      </w:pPr>
      <w:r>
        <w:rPr>
          <w:rFonts w:cs="Times New Roman"/>
        </w:rPr>
        <w:drawing>
          <wp:inline distT="0" distB="0" distL="0" distR="0">
            <wp:extent cx="2556510" cy="3371215"/>
            <wp:effectExtent l="0" t="0" r="0" b="63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36" cstate="print">
                      <a:extLst>
                        <a:ext uri="{28A0092B-C50C-407E-A947-70E740481C1C}">
                          <a14:useLocalDpi xmlns:a14="http://schemas.microsoft.com/office/drawing/2010/main" val="0"/>
                        </a:ext>
                      </a:extLst>
                    </a:blip>
                    <a:srcRect t="24143"/>
                    <a:stretch>
                      <a:fillRect/>
                    </a:stretch>
                  </pic:blipFill>
                  <pic:spPr>
                    <a:xfrm>
                      <a:off x="0" y="0"/>
                      <a:ext cx="2558113" cy="3372877"/>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2623185" cy="3369310"/>
            <wp:effectExtent l="0" t="0" r="5715" b="254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37" cstate="print">
                      <a:extLst>
                        <a:ext uri="{28A0092B-C50C-407E-A947-70E740481C1C}">
                          <a14:useLocalDpi xmlns:a14="http://schemas.microsoft.com/office/drawing/2010/main" val="0"/>
                        </a:ext>
                      </a:extLst>
                    </a:blip>
                    <a:srcRect t="20151"/>
                    <a:stretch>
                      <a:fillRect/>
                    </a:stretch>
                  </pic:blipFill>
                  <pic:spPr>
                    <a:xfrm>
                      <a:off x="0" y="0"/>
                      <a:ext cx="2634267" cy="3383812"/>
                    </a:xfrm>
                    <a:prstGeom prst="rect">
                      <a:avLst/>
                    </a:prstGeom>
                    <a:noFill/>
                    <a:ln>
                      <a:noFill/>
                    </a:ln>
                  </pic:spPr>
                </pic:pic>
              </a:graphicData>
            </a:graphic>
          </wp:inline>
        </w:drawing>
      </w:r>
    </w:p>
    <w:p>
      <w:pPr>
        <w:pStyle w:val="64"/>
        <w:rPr>
          <w:rFonts w:eastAsia="黑体" w:cs="Times New Roman"/>
          <w:bCs/>
          <w:szCs w:val="20"/>
        </w:rPr>
      </w:pPr>
      <w:r>
        <w:rPr>
          <w:rFonts w:eastAsia="黑体" w:cs="Times New Roman"/>
          <w:bCs/>
          <w:szCs w:val="20"/>
        </w:rPr>
        <w:t>图 3</w:t>
      </w:r>
      <w:r>
        <w:rPr>
          <w:rFonts w:eastAsia="黑体" w:cs="Times New Roman"/>
          <w:bCs/>
          <w:szCs w:val="20"/>
        </w:rPr>
        <w:noBreakHyphen/>
      </w:r>
      <w:r>
        <w:rPr>
          <w:rFonts w:eastAsia="黑体" w:cs="Times New Roman"/>
          <w:bCs/>
          <w:szCs w:val="20"/>
        </w:rPr>
        <w:t>5  腰庄乡现场调研图</w:t>
      </w:r>
    </w:p>
    <w:p>
      <w:pPr>
        <w:ind w:firstLine="482"/>
        <w:rPr>
          <w:rFonts w:cs="Times New Roman"/>
          <w:b/>
        </w:rPr>
      </w:pPr>
      <w:r>
        <w:rPr>
          <w:rFonts w:cs="Times New Roman"/>
          <w:b/>
        </w:rPr>
        <w:t>6、韩家川乡</w:t>
      </w:r>
    </w:p>
    <w:p>
      <w:pPr>
        <w:ind w:firstLine="480"/>
        <w:rPr>
          <w:rFonts w:cs="Times New Roman"/>
        </w:rPr>
      </w:pPr>
      <w:r>
        <w:rPr>
          <w:rFonts w:cs="Times New Roman"/>
        </w:rPr>
        <w:t>韩家川乡下设韩家川村、柴加湾村、猯窝村、下塔村、豆塔村、赵家庄村、官局村、墕头村、寨沟村、沙坪村、桑元塔村等11个行政村，常住人口1102人，人均污水排放量为5~15L/d，排放方式主要采取直排自然下渗的方式。除了豆塔村、赵家庄村、官局村三村以外，其余村落均处于沿河三公里农村污水排放的行政村，所属流域为入黄流域。所有行政村暂无规划建立生活污水处理设施。除了姚家焉、秦家河村、韩家焉村三个村落以外，其余行政村均有畜禽养殖产生，排放方式也采取了直排下渗的方式。</w:t>
      </w:r>
    </w:p>
    <w:p>
      <w:pPr>
        <w:pStyle w:val="64"/>
        <w:rPr>
          <w:rFonts w:cs="Times New Roman"/>
        </w:rPr>
      </w:pPr>
      <w:r>
        <w:rPr>
          <w:rFonts w:cs="Times New Roman"/>
        </w:rPr>
        <w:drawing>
          <wp:inline distT="0" distB="0" distL="0" distR="0">
            <wp:extent cx="2519680" cy="4398010"/>
            <wp:effectExtent l="0" t="0" r="0" b="254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20000" cy="4398336"/>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2519680" cy="4398010"/>
            <wp:effectExtent l="0" t="0" r="0" b="254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20000" cy="4398336"/>
                    </a:xfrm>
                    <a:prstGeom prst="rect">
                      <a:avLst/>
                    </a:prstGeom>
                    <a:noFill/>
                    <a:ln>
                      <a:noFill/>
                    </a:ln>
                  </pic:spPr>
                </pic:pic>
              </a:graphicData>
            </a:graphic>
          </wp:inline>
        </w:drawing>
      </w:r>
    </w:p>
    <w:p>
      <w:pPr>
        <w:pStyle w:val="64"/>
        <w:rPr>
          <w:rFonts w:eastAsia="黑体" w:cs="Times New Roman"/>
          <w:bCs/>
          <w:szCs w:val="20"/>
        </w:rPr>
      </w:pPr>
      <w:r>
        <w:rPr>
          <w:rFonts w:eastAsia="黑体" w:cs="Times New Roman"/>
          <w:bCs/>
          <w:szCs w:val="20"/>
        </w:rPr>
        <w:drawing>
          <wp:inline distT="0" distB="0" distL="0" distR="0">
            <wp:extent cx="2519045" cy="16764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22233" cy="1678386"/>
                    </a:xfrm>
                    <a:prstGeom prst="rect">
                      <a:avLst/>
                    </a:prstGeom>
                  </pic:spPr>
                </pic:pic>
              </a:graphicData>
            </a:graphic>
          </wp:inline>
        </w:drawing>
      </w:r>
      <w:r>
        <w:rPr>
          <w:rFonts w:hint="eastAsia" w:eastAsia="黑体" w:cs="Times New Roman"/>
          <w:bCs/>
          <w:szCs w:val="20"/>
        </w:rPr>
        <w:t xml:space="preserve"> </w:t>
      </w:r>
      <w:r>
        <w:rPr>
          <w:rFonts w:eastAsia="黑体" w:cs="Times New Roman"/>
          <w:bCs/>
          <w:szCs w:val="20"/>
        </w:rPr>
        <w:drawing>
          <wp:inline distT="0" distB="0" distL="0" distR="0">
            <wp:extent cx="2519045" cy="1671955"/>
            <wp:effectExtent l="0" t="0" r="0" b="44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24263" cy="1675284"/>
                    </a:xfrm>
                    <a:prstGeom prst="rect">
                      <a:avLst/>
                    </a:prstGeom>
                  </pic:spPr>
                </pic:pic>
              </a:graphicData>
            </a:graphic>
          </wp:inline>
        </w:drawing>
      </w:r>
    </w:p>
    <w:p>
      <w:pPr>
        <w:pStyle w:val="64"/>
        <w:rPr>
          <w:rFonts w:eastAsia="黑体" w:cs="Times New Roman"/>
          <w:bCs/>
          <w:szCs w:val="20"/>
        </w:rPr>
      </w:pPr>
      <w:r>
        <w:rPr>
          <w:rFonts w:eastAsia="黑体" w:cs="Times New Roman"/>
          <w:bCs/>
          <w:szCs w:val="20"/>
        </w:rPr>
        <w:t>图 3</w:t>
      </w:r>
      <w:r>
        <w:rPr>
          <w:rFonts w:eastAsia="黑体" w:cs="Times New Roman"/>
          <w:bCs/>
          <w:szCs w:val="20"/>
        </w:rPr>
        <w:noBreakHyphen/>
      </w:r>
      <w:r>
        <w:rPr>
          <w:rFonts w:eastAsia="黑体" w:cs="Times New Roman"/>
          <w:bCs/>
          <w:szCs w:val="20"/>
        </w:rPr>
        <w:t>6韩家川乡现场调研图</w:t>
      </w:r>
    </w:p>
    <w:p>
      <w:pPr>
        <w:ind w:firstLine="482"/>
        <w:rPr>
          <w:rFonts w:cs="Times New Roman"/>
          <w:b/>
        </w:rPr>
      </w:pPr>
      <w:r>
        <w:rPr>
          <w:rFonts w:cs="Times New Roman"/>
          <w:b/>
        </w:rPr>
        <w:t>7、孙家沟乡</w:t>
      </w:r>
    </w:p>
    <w:p>
      <w:pPr>
        <w:ind w:firstLine="480"/>
        <w:rPr>
          <w:rFonts w:cs="Times New Roman"/>
        </w:rPr>
      </w:pPr>
      <w:r>
        <w:rPr>
          <w:rFonts w:cs="Times New Roman"/>
        </w:rPr>
        <w:t>孙家沟乡下设秦家寨村、付家圪台村、新畦村、化树塔村、郭家辿村、土门村、张家沟村、袁家庄村、苇树局村、羊路河村、牧塔村、孙家沟村、王偏梁村、青草沟村、桑树村、郝家塔村、木瓜耳村、北山村、沟底塔村、杜家塔村等20个行政村，常住人口1565人，人均污水排放量为12~21L/d，排放方式主要采取直排自然下渗的方式。没有村落均处于沿河三公里农村污水排放区域。所有行政村暂无规划建立生活污水处理设施。有11个行政村均有畜禽养殖产生，排放方式也采取了直排下渗的方式。</w:t>
      </w:r>
    </w:p>
    <w:p>
      <w:pPr>
        <w:pStyle w:val="64"/>
        <w:rPr>
          <w:rFonts w:cs="Times New Roman"/>
        </w:rPr>
      </w:pPr>
      <w:r>
        <w:rPr>
          <w:rFonts w:cs="Times New Roman"/>
        </w:rPr>
        <w:drawing>
          <wp:inline distT="0" distB="0" distL="0" distR="0">
            <wp:extent cx="1335405" cy="2330450"/>
            <wp:effectExtent l="0" t="0" r="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365376" cy="2383090"/>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4067810" cy="2330450"/>
            <wp:effectExtent l="0" t="0" r="8890" b="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68000" cy="2330737"/>
                    </a:xfrm>
                    <a:prstGeom prst="rect">
                      <a:avLst/>
                    </a:prstGeom>
                    <a:noFill/>
                    <a:ln>
                      <a:noFill/>
                    </a:ln>
                  </pic:spPr>
                </pic:pic>
              </a:graphicData>
            </a:graphic>
          </wp:inline>
        </w:drawing>
      </w:r>
    </w:p>
    <w:p>
      <w:pPr>
        <w:pStyle w:val="64"/>
        <w:rPr>
          <w:rFonts w:cs="Times New Roman"/>
        </w:rPr>
      </w:pPr>
      <w:r>
        <w:rPr>
          <w:rFonts w:cs="Times New Roman"/>
        </w:rPr>
        <w:drawing>
          <wp:inline distT="0" distB="0" distL="0" distR="0">
            <wp:extent cx="2663825" cy="1525905"/>
            <wp:effectExtent l="0" t="0" r="3175"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64000" cy="1526323"/>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2663825" cy="1525905"/>
            <wp:effectExtent l="0" t="0" r="317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64000" cy="1526288"/>
                    </a:xfrm>
                    <a:prstGeom prst="rect">
                      <a:avLst/>
                    </a:prstGeom>
                  </pic:spPr>
                </pic:pic>
              </a:graphicData>
            </a:graphic>
          </wp:inline>
        </w:drawing>
      </w:r>
    </w:p>
    <w:p>
      <w:pPr>
        <w:pStyle w:val="64"/>
        <w:rPr>
          <w:rFonts w:eastAsia="黑体" w:cs="Times New Roman"/>
          <w:bCs/>
          <w:szCs w:val="20"/>
        </w:rPr>
      </w:pPr>
      <w:r>
        <w:rPr>
          <w:rFonts w:eastAsia="黑体" w:cs="Times New Roman"/>
          <w:bCs/>
          <w:szCs w:val="20"/>
        </w:rPr>
        <w:t>图 3</w:t>
      </w:r>
      <w:r>
        <w:rPr>
          <w:rFonts w:eastAsia="黑体" w:cs="Times New Roman"/>
          <w:bCs/>
          <w:szCs w:val="20"/>
        </w:rPr>
        <w:noBreakHyphen/>
      </w:r>
      <w:r>
        <w:rPr>
          <w:rFonts w:eastAsia="黑体" w:cs="Times New Roman"/>
          <w:bCs/>
          <w:szCs w:val="20"/>
        </w:rPr>
        <w:t>7孙家沟乡现场调研图</w:t>
      </w:r>
    </w:p>
    <w:p>
      <w:pPr>
        <w:ind w:firstLine="482"/>
        <w:rPr>
          <w:rFonts w:cs="Times New Roman"/>
          <w:b/>
        </w:rPr>
      </w:pPr>
      <w:r>
        <w:rPr>
          <w:rFonts w:cs="Times New Roman"/>
          <w:b/>
        </w:rPr>
        <w:t>8、窑洼乡</w:t>
      </w:r>
    </w:p>
    <w:p>
      <w:pPr>
        <w:ind w:firstLine="480"/>
        <w:rPr>
          <w:rFonts w:cs="Times New Roman"/>
        </w:rPr>
      </w:pPr>
      <w:r>
        <w:rPr>
          <w:rFonts w:cs="Times New Roman"/>
        </w:rPr>
        <w:t>窑洼乡下设大塔铺村、窑洼村、官地坪村、曹虎村、庙沟、王家庄、首沟村、道座山村、科局村等9个行政村，常住人口1240人，人均污水排放量为6~12L/d，大部分村落排放方式主要采取明渠自然下渗的方式。官地坪村、曹虎村处于沿河三公里农村污水排放区域，所属流域为朱家川流域。所有行政村暂无规划建立生活污水处理设施。有6个行政村均有畜禽养殖产生，排放方式也采取了直排下渗的方式。</w:t>
      </w:r>
    </w:p>
    <w:p>
      <w:pPr>
        <w:pStyle w:val="64"/>
        <w:rPr>
          <w:rFonts w:cs="Times New Roman"/>
        </w:rPr>
      </w:pPr>
      <w:r>
        <w:rPr>
          <w:rFonts w:cs="Times New Roman"/>
        </w:rPr>
        <w:drawing>
          <wp:inline distT="0" distB="0" distL="0" distR="0">
            <wp:extent cx="2519680" cy="4418965"/>
            <wp:effectExtent l="0" t="0" r="0" b="635"/>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20000" cy="4419333"/>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2519680" cy="4420235"/>
            <wp:effectExtent l="0" t="0" r="0"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20000" cy="4420500"/>
                    </a:xfrm>
                    <a:prstGeom prst="rect">
                      <a:avLst/>
                    </a:prstGeom>
                    <a:noFill/>
                    <a:ln>
                      <a:noFill/>
                    </a:ln>
                  </pic:spPr>
                </pic:pic>
              </a:graphicData>
            </a:graphic>
          </wp:inline>
        </w:drawing>
      </w:r>
    </w:p>
    <w:p>
      <w:pPr>
        <w:pStyle w:val="64"/>
        <w:rPr>
          <w:rFonts w:eastAsia="黑体" w:cs="Times New Roman"/>
          <w:bCs/>
          <w:szCs w:val="20"/>
        </w:rPr>
      </w:pPr>
      <w:r>
        <w:rPr>
          <w:rFonts w:eastAsia="黑体" w:cs="Times New Roman"/>
          <w:bCs/>
          <w:szCs w:val="20"/>
        </w:rPr>
        <w:drawing>
          <wp:inline distT="0" distB="0" distL="0" distR="0">
            <wp:extent cx="2342515" cy="3728720"/>
            <wp:effectExtent l="0" t="0" r="635" b="508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8" cstate="print">
                      <a:extLst>
                        <a:ext uri="{28A0092B-C50C-407E-A947-70E740481C1C}">
                          <a14:useLocalDpi xmlns:a14="http://schemas.microsoft.com/office/drawing/2010/main" val="0"/>
                        </a:ext>
                      </a:extLst>
                    </a:blip>
                    <a:srcRect t="9258"/>
                    <a:stretch>
                      <a:fillRect/>
                    </a:stretch>
                  </pic:blipFill>
                  <pic:spPr>
                    <a:xfrm>
                      <a:off x="0" y="0"/>
                      <a:ext cx="2363967" cy="3762916"/>
                    </a:xfrm>
                    <a:prstGeom prst="rect">
                      <a:avLst/>
                    </a:prstGeom>
                    <a:ln>
                      <a:noFill/>
                    </a:ln>
                  </pic:spPr>
                </pic:pic>
              </a:graphicData>
            </a:graphic>
          </wp:inline>
        </w:drawing>
      </w:r>
      <w:r>
        <w:rPr>
          <w:rFonts w:hint="eastAsia" w:eastAsia="黑体" w:cs="Times New Roman"/>
          <w:bCs/>
          <w:szCs w:val="20"/>
        </w:rPr>
        <w:t xml:space="preserve"> </w:t>
      </w:r>
      <w:r>
        <w:rPr>
          <w:rFonts w:eastAsia="黑体" w:cs="Times New Roman"/>
          <w:bCs/>
          <w:szCs w:val="20"/>
        </w:rPr>
        <w:drawing>
          <wp:inline distT="0" distB="0" distL="0" distR="0">
            <wp:extent cx="2663190" cy="3738880"/>
            <wp:effectExtent l="0" t="0" r="381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49" cstate="print">
                      <a:extLst>
                        <a:ext uri="{28A0092B-C50C-407E-A947-70E740481C1C}">
                          <a14:useLocalDpi xmlns:a14="http://schemas.microsoft.com/office/drawing/2010/main" val="0"/>
                        </a:ext>
                      </a:extLst>
                    </a:blip>
                    <a:srcRect t="19968"/>
                    <a:stretch>
                      <a:fillRect/>
                    </a:stretch>
                  </pic:blipFill>
                  <pic:spPr>
                    <a:xfrm>
                      <a:off x="0" y="0"/>
                      <a:ext cx="2664000" cy="3740014"/>
                    </a:xfrm>
                    <a:prstGeom prst="rect">
                      <a:avLst/>
                    </a:prstGeom>
                    <a:ln>
                      <a:noFill/>
                    </a:ln>
                  </pic:spPr>
                </pic:pic>
              </a:graphicData>
            </a:graphic>
          </wp:inline>
        </w:drawing>
      </w:r>
    </w:p>
    <w:p>
      <w:pPr>
        <w:pStyle w:val="64"/>
        <w:rPr>
          <w:rFonts w:eastAsia="黑体" w:cs="Times New Roman"/>
          <w:bCs/>
          <w:szCs w:val="20"/>
        </w:rPr>
      </w:pPr>
      <w:r>
        <w:rPr>
          <w:rFonts w:eastAsia="黑体" w:cs="Times New Roman"/>
          <w:bCs/>
          <w:szCs w:val="20"/>
        </w:rPr>
        <w:t>图 3</w:t>
      </w:r>
      <w:r>
        <w:rPr>
          <w:rFonts w:eastAsia="黑体" w:cs="Times New Roman"/>
          <w:bCs/>
          <w:szCs w:val="20"/>
        </w:rPr>
        <w:noBreakHyphen/>
      </w:r>
      <w:r>
        <w:rPr>
          <w:rFonts w:eastAsia="黑体" w:cs="Times New Roman"/>
          <w:bCs/>
          <w:szCs w:val="20"/>
        </w:rPr>
        <w:t>8  窑洼乡现场调研图</w:t>
      </w:r>
    </w:p>
    <w:p>
      <w:pPr>
        <w:ind w:firstLine="482"/>
        <w:rPr>
          <w:rFonts w:cs="Times New Roman"/>
          <w:b/>
        </w:rPr>
      </w:pPr>
      <w:r>
        <w:rPr>
          <w:rFonts w:cs="Times New Roman"/>
          <w:b/>
        </w:rPr>
        <w:t>9、窑圪台乡</w:t>
      </w:r>
    </w:p>
    <w:p>
      <w:pPr>
        <w:ind w:firstLine="480"/>
        <w:rPr>
          <w:rFonts w:cs="Times New Roman"/>
        </w:rPr>
      </w:pPr>
      <w:r>
        <w:rPr>
          <w:rFonts w:cs="Times New Roman"/>
        </w:rPr>
        <w:t>窑圪台乡下设五楼沟村、闫家坪村、窑圪台村、郝沟坪村、吾吉耳村、丛岭沟村、银子塔村、张家窑洼村、孙家山村、红花塔村等10个行政村，常住人口1150人，人均污水排放量为6~15L/d，排放方式主要采取明渠自然下渗的方式。没有行政村处于沿河三公里农村污水排放区域。所有行政村暂无规划建立生活污水处理设施。有9个行政村均有畜禽养殖产生，排放方式也采取了直排下渗的方式。</w:t>
      </w:r>
    </w:p>
    <w:p>
      <w:pPr>
        <w:pStyle w:val="64"/>
        <w:rPr>
          <w:rFonts w:cs="Times New Roman"/>
        </w:rPr>
      </w:pPr>
      <w:r>
        <w:rPr>
          <w:rFonts w:cs="Times New Roman"/>
        </w:rPr>
        <w:drawing>
          <wp:inline distT="0" distB="0" distL="0" distR="0">
            <wp:extent cx="2519680" cy="4055745"/>
            <wp:effectExtent l="0" t="0" r="0" b="1905"/>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502"/>
                    <pic:cNvPicPr>
                      <a:picLocks noChangeAspect="1" noChangeArrowheads="1"/>
                    </pic:cNvPicPr>
                  </pic:nvPicPr>
                  <pic:blipFill>
                    <a:blip r:embed="rId50" cstate="print">
                      <a:extLst>
                        <a:ext uri="{28A0092B-C50C-407E-A947-70E740481C1C}">
                          <a14:useLocalDpi xmlns:a14="http://schemas.microsoft.com/office/drawing/2010/main" val="0"/>
                        </a:ext>
                      </a:extLst>
                    </a:blip>
                    <a:srcRect t="8233"/>
                    <a:stretch>
                      <a:fillRect/>
                    </a:stretch>
                  </pic:blipFill>
                  <pic:spPr>
                    <a:xfrm>
                      <a:off x="0" y="0"/>
                      <a:ext cx="2520000" cy="4056561"/>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2519680" cy="4055745"/>
            <wp:effectExtent l="0" t="0" r="0" b="1905"/>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3"/>
                    <pic:cNvPicPr>
                      <a:picLocks noChangeAspect="1" noChangeArrowheads="1"/>
                    </pic:cNvPicPr>
                  </pic:nvPicPr>
                  <pic:blipFill>
                    <a:blip r:embed="rId51" cstate="print">
                      <a:extLst>
                        <a:ext uri="{28A0092B-C50C-407E-A947-70E740481C1C}">
                          <a14:useLocalDpi xmlns:a14="http://schemas.microsoft.com/office/drawing/2010/main" val="0"/>
                        </a:ext>
                      </a:extLst>
                    </a:blip>
                    <a:srcRect t="8233"/>
                    <a:stretch>
                      <a:fillRect/>
                    </a:stretch>
                  </pic:blipFill>
                  <pic:spPr>
                    <a:xfrm>
                      <a:off x="0" y="0"/>
                      <a:ext cx="2520000" cy="4056561"/>
                    </a:xfrm>
                    <a:prstGeom prst="rect">
                      <a:avLst/>
                    </a:prstGeom>
                    <a:noFill/>
                    <a:ln>
                      <a:noFill/>
                    </a:ln>
                  </pic:spPr>
                </pic:pic>
              </a:graphicData>
            </a:graphic>
          </wp:inline>
        </w:drawing>
      </w:r>
    </w:p>
    <w:p>
      <w:pPr>
        <w:pStyle w:val="64"/>
        <w:rPr>
          <w:rFonts w:cs="Times New Roman"/>
        </w:rPr>
      </w:pPr>
      <w:r>
        <w:rPr>
          <w:rFonts w:cs="Times New Roman"/>
        </w:rPr>
        <w:drawing>
          <wp:inline distT="0" distB="0" distL="0" distR="0">
            <wp:extent cx="2583815" cy="2247900"/>
            <wp:effectExtent l="0" t="0" r="6985" b="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96198" cy="2258673"/>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2536190" cy="2245360"/>
            <wp:effectExtent l="0" t="0" r="0" b="254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505"/>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54990" cy="2262524"/>
                    </a:xfrm>
                    <a:prstGeom prst="rect">
                      <a:avLst/>
                    </a:prstGeom>
                    <a:noFill/>
                    <a:ln>
                      <a:noFill/>
                    </a:ln>
                  </pic:spPr>
                </pic:pic>
              </a:graphicData>
            </a:graphic>
          </wp:inline>
        </w:drawing>
      </w:r>
    </w:p>
    <w:p>
      <w:pPr>
        <w:pStyle w:val="64"/>
        <w:rPr>
          <w:rFonts w:eastAsia="黑体" w:cs="Times New Roman"/>
          <w:bCs/>
          <w:szCs w:val="20"/>
        </w:rPr>
      </w:pPr>
      <w:r>
        <w:rPr>
          <w:rFonts w:eastAsia="黑体" w:cs="Times New Roman"/>
          <w:bCs/>
          <w:szCs w:val="20"/>
        </w:rPr>
        <w:t>图 3</w:t>
      </w:r>
      <w:r>
        <w:rPr>
          <w:rFonts w:eastAsia="黑体" w:cs="Times New Roman"/>
          <w:bCs/>
          <w:szCs w:val="20"/>
        </w:rPr>
        <w:noBreakHyphen/>
      </w:r>
      <w:r>
        <w:rPr>
          <w:rFonts w:eastAsia="黑体" w:cs="Times New Roman"/>
          <w:bCs/>
          <w:szCs w:val="20"/>
        </w:rPr>
        <w:t>9  窑圪台乡现场调研图</w:t>
      </w:r>
    </w:p>
    <w:p>
      <w:pPr>
        <w:ind w:firstLine="482"/>
        <w:rPr>
          <w:rFonts w:cs="Times New Roman"/>
          <w:b/>
        </w:rPr>
      </w:pPr>
    </w:p>
    <w:p>
      <w:pPr>
        <w:ind w:firstLine="482"/>
        <w:rPr>
          <w:rFonts w:cs="Times New Roman"/>
          <w:b/>
        </w:rPr>
      </w:pPr>
      <w:r>
        <w:rPr>
          <w:rFonts w:cs="Times New Roman"/>
          <w:b/>
        </w:rPr>
        <w:t>10、义门镇</w:t>
      </w:r>
    </w:p>
    <w:p>
      <w:pPr>
        <w:pStyle w:val="64"/>
        <w:ind w:firstLine="480" w:firstLineChars="200"/>
        <w:jc w:val="both"/>
        <w:rPr>
          <w:rFonts w:eastAsia="宋体" w:cs="Times New Roman"/>
          <w:sz w:val="24"/>
          <w:szCs w:val="22"/>
        </w:rPr>
      </w:pPr>
      <w:r>
        <w:rPr>
          <w:rFonts w:eastAsia="宋体" w:cs="Times New Roman"/>
          <w:sz w:val="24"/>
          <w:szCs w:val="22"/>
        </w:rPr>
        <w:t>义门镇下设雷家峁村、崔家堎村、小赵家沟、赵家寨、柳家峁、王家焉、袁家里、康家沟、狄家焉、暖泉、天桥村、刘家畔村、庙峁村、义门村、梁家村、永泉村、团结村、岳家里村、贾家峁村、张家峁村、行宫焉村、赵家沟、岳家沟、路家村、荣家沟、武家塔、南峁村等27个行政村，常住人口7370人，人均污水排放量为7~15L/d，排放方式主要采取明渠、暗沟自然下渗的方式。天桥村、刘家畔村、暖泉村、义门村、庙峁村行政村处于沿河三公里农村污水排放区域，所属流域为入黄流域。所有行政村暂无规划建立生活污水处理设施。有14个行政村均有畜禽养殖产生，排放方式也采取了直排下渗的方式。</w:t>
      </w:r>
    </w:p>
    <w:p>
      <w:pPr>
        <w:pStyle w:val="64"/>
        <w:rPr>
          <w:rFonts w:cs="Times New Roman"/>
        </w:rPr>
      </w:pPr>
      <w:r>
        <w:rPr>
          <w:rFonts w:cs="Times New Roman"/>
        </w:rPr>
        <w:drawing>
          <wp:inline distT="0" distB="0" distL="0" distR="0">
            <wp:extent cx="1334135" cy="2339975"/>
            <wp:effectExtent l="0" t="0" r="0" b="317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345539" cy="2360302"/>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4089400" cy="2331085"/>
            <wp:effectExtent l="0" t="0" r="635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148415" cy="2364891"/>
                    </a:xfrm>
                    <a:prstGeom prst="rect">
                      <a:avLst/>
                    </a:prstGeom>
                    <a:noFill/>
                    <a:ln>
                      <a:noFill/>
                    </a:ln>
                  </pic:spPr>
                </pic:pic>
              </a:graphicData>
            </a:graphic>
          </wp:inline>
        </w:drawing>
      </w:r>
    </w:p>
    <w:p>
      <w:pPr>
        <w:pStyle w:val="64"/>
        <w:rPr>
          <w:rFonts w:cs="Times New Roman"/>
        </w:rPr>
      </w:pPr>
      <w:r>
        <w:rPr>
          <w:rFonts w:cs="Times New Roman"/>
        </w:rPr>
        <w:drawing>
          <wp:inline distT="0" distB="0" distL="0" distR="0">
            <wp:extent cx="1335405" cy="2342515"/>
            <wp:effectExtent l="0" t="0" r="0" b="63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335600" cy="2342867"/>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4089400" cy="2331085"/>
            <wp:effectExtent l="0" t="0" r="635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089600" cy="2331362"/>
                    </a:xfrm>
                    <a:prstGeom prst="rect">
                      <a:avLst/>
                    </a:prstGeom>
                    <a:noFill/>
                    <a:ln>
                      <a:noFill/>
                    </a:ln>
                  </pic:spPr>
                </pic:pic>
              </a:graphicData>
            </a:graphic>
          </wp:inline>
        </w:drawing>
      </w:r>
    </w:p>
    <w:p>
      <w:pPr>
        <w:pStyle w:val="64"/>
        <w:rPr>
          <w:rFonts w:eastAsia="黑体" w:cs="Times New Roman"/>
          <w:bCs/>
          <w:szCs w:val="20"/>
        </w:rPr>
      </w:pPr>
      <w:r>
        <w:rPr>
          <w:rFonts w:eastAsia="黑体" w:cs="Times New Roman"/>
          <w:bCs/>
          <w:szCs w:val="20"/>
        </w:rPr>
        <w:t>图 3</w:t>
      </w:r>
      <w:r>
        <w:rPr>
          <w:rFonts w:eastAsia="黑体" w:cs="Times New Roman"/>
          <w:bCs/>
          <w:szCs w:val="20"/>
        </w:rPr>
        <w:noBreakHyphen/>
      </w:r>
      <w:r>
        <w:rPr>
          <w:rFonts w:eastAsia="黑体" w:cs="Times New Roman"/>
          <w:bCs/>
          <w:szCs w:val="20"/>
        </w:rPr>
        <w:t>10  义门镇现场调研图</w:t>
      </w:r>
    </w:p>
    <w:p>
      <w:pPr>
        <w:ind w:firstLine="482"/>
        <w:rPr>
          <w:rFonts w:cs="Times New Roman"/>
          <w:b/>
        </w:rPr>
      </w:pPr>
      <w:r>
        <w:rPr>
          <w:rFonts w:cs="Times New Roman"/>
          <w:b/>
        </w:rPr>
        <w:t>11、杨家湾镇</w:t>
      </w:r>
    </w:p>
    <w:p>
      <w:pPr>
        <w:ind w:firstLine="480"/>
        <w:rPr>
          <w:rFonts w:cs="Times New Roman"/>
        </w:rPr>
      </w:pPr>
      <w:r>
        <w:rPr>
          <w:rFonts w:cs="Times New Roman"/>
        </w:rPr>
        <w:t>杨家湾镇下设太平头村、段家沟村、霍家梁村、孙家梁村、王家洼村、故城村、李家峁村、花园村、前会村、后会村、杨家湾村、郭家湾村、稻畦村、崔家湾村、余铁村、石洼村、山头村、崔家墕村等18个行政村，常住人口2874人，人均污水排放量为5~15L/d。故城村、花园村有小型污水处理设施，李家峁村通过化粪池，花园村和李家峁村污水排放至河流。崔家湾村有神华洗煤厂，污水通过暗渠排放至河流。其余村落采取直排自然下渗的方式，除了故城村、花园村和李家峁村行政村以外，其余村落暂无规划建立生活污水处理设施。崔家湾、稻畦、郭家湾、杨家湾、前会、后会、花园、崔家墕、故城、李家峁村等10个行政村处于沿河三公里农村污水排放区域，所属流域为朱家川流域。山头村有中石油煤气层、海同燃气有限公司，余铁村有中石油煤气层公司，王家洼村有中石油煤气层公司，孙家梁村有中石油煤气层、集气站、井场，山头村、崔家墕村、太平头村、段家沟村、霍家梁村有畜禽养殖产生，排放方式也采取了直排下渗的方式。</w:t>
      </w:r>
    </w:p>
    <w:p>
      <w:pPr>
        <w:pStyle w:val="64"/>
        <w:rPr>
          <w:rFonts w:cs="Times New Roman"/>
        </w:rPr>
      </w:pPr>
      <w:r>
        <w:rPr>
          <w:rFonts w:cs="Times New Roman"/>
        </w:rPr>
        <w:drawing>
          <wp:inline distT="0" distB="0" distL="0" distR="0">
            <wp:extent cx="2663825" cy="1525905"/>
            <wp:effectExtent l="0" t="0" r="3175" b="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21"/>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664000" cy="1526324"/>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2663825" cy="1525905"/>
            <wp:effectExtent l="0" t="0" r="3175" b="0"/>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24"/>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64000" cy="1526323"/>
                    </a:xfrm>
                    <a:prstGeom prst="rect">
                      <a:avLst/>
                    </a:prstGeom>
                    <a:noFill/>
                    <a:ln>
                      <a:noFill/>
                    </a:ln>
                  </pic:spPr>
                </pic:pic>
              </a:graphicData>
            </a:graphic>
          </wp:inline>
        </w:drawing>
      </w:r>
    </w:p>
    <w:p>
      <w:pPr>
        <w:pStyle w:val="64"/>
        <w:rPr>
          <w:rFonts w:cs="Times New Roman"/>
        </w:rPr>
      </w:pPr>
      <w:r>
        <w:rPr>
          <w:rFonts w:cs="Times New Roman"/>
        </w:rPr>
        <w:drawing>
          <wp:inline distT="0" distB="0" distL="0" distR="0">
            <wp:extent cx="2663825" cy="1525905"/>
            <wp:effectExtent l="0" t="0" r="3175" b="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22"/>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664000" cy="1526323"/>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2663825" cy="1525905"/>
            <wp:effectExtent l="0" t="0" r="3175"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523"/>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664000" cy="1526324"/>
                    </a:xfrm>
                    <a:prstGeom prst="rect">
                      <a:avLst/>
                    </a:prstGeom>
                    <a:noFill/>
                    <a:ln>
                      <a:noFill/>
                    </a:ln>
                  </pic:spPr>
                </pic:pic>
              </a:graphicData>
            </a:graphic>
          </wp:inline>
        </w:drawing>
      </w:r>
    </w:p>
    <w:p>
      <w:pPr>
        <w:pStyle w:val="64"/>
        <w:rPr>
          <w:rFonts w:eastAsia="黑体" w:cs="Times New Roman"/>
          <w:bCs/>
          <w:szCs w:val="20"/>
        </w:rPr>
      </w:pPr>
      <w:r>
        <w:rPr>
          <w:rFonts w:eastAsia="黑体" w:cs="Times New Roman"/>
          <w:bCs/>
          <w:szCs w:val="20"/>
        </w:rPr>
        <w:drawing>
          <wp:inline distT="0" distB="0" distL="0" distR="0">
            <wp:extent cx="2663825" cy="1525905"/>
            <wp:effectExtent l="0" t="0" r="317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64000" cy="1526324"/>
                    </a:xfrm>
                    <a:prstGeom prst="rect">
                      <a:avLst/>
                    </a:prstGeom>
                  </pic:spPr>
                </pic:pic>
              </a:graphicData>
            </a:graphic>
          </wp:inline>
        </w:drawing>
      </w:r>
      <w:r>
        <w:rPr>
          <w:rFonts w:hint="eastAsia" w:eastAsia="黑体" w:cs="Times New Roman"/>
          <w:bCs/>
          <w:szCs w:val="20"/>
        </w:rPr>
        <w:t xml:space="preserve"> </w:t>
      </w:r>
      <w:r>
        <w:rPr>
          <w:rFonts w:eastAsia="黑体" w:cs="Times New Roman"/>
          <w:bCs/>
          <w:szCs w:val="20"/>
        </w:rPr>
        <w:drawing>
          <wp:inline distT="0" distB="0" distL="0" distR="0">
            <wp:extent cx="2663825" cy="1525905"/>
            <wp:effectExtent l="0" t="0" r="317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64000" cy="1526288"/>
                    </a:xfrm>
                    <a:prstGeom prst="rect">
                      <a:avLst/>
                    </a:prstGeom>
                  </pic:spPr>
                </pic:pic>
              </a:graphicData>
            </a:graphic>
          </wp:inline>
        </w:drawing>
      </w:r>
    </w:p>
    <w:p>
      <w:pPr>
        <w:pStyle w:val="64"/>
        <w:rPr>
          <w:rFonts w:eastAsia="黑体" w:cs="Times New Roman"/>
          <w:bCs/>
          <w:szCs w:val="20"/>
        </w:rPr>
      </w:pPr>
      <w:r>
        <w:rPr>
          <w:rFonts w:eastAsia="黑体" w:cs="Times New Roman"/>
          <w:bCs/>
          <w:szCs w:val="20"/>
        </w:rPr>
        <w:t>图 3</w:t>
      </w:r>
      <w:r>
        <w:rPr>
          <w:rFonts w:eastAsia="黑体" w:cs="Times New Roman"/>
          <w:bCs/>
          <w:szCs w:val="20"/>
        </w:rPr>
        <w:noBreakHyphen/>
      </w:r>
      <w:r>
        <w:rPr>
          <w:rFonts w:eastAsia="黑体" w:cs="Times New Roman"/>
          <w:bCs/>
          <w:szCs w:val="20"/>
        </w:rPr>
        <w:t>11  杨家湾镇现场调研图</w:t>
      </w:r>
    </w:p>
    <w:p>
      <w:pPr>
        <w:ind w:firstLine="482"/>
        <w:rPr>
          <w:rFonts w:cs="Times New Roman"/>
          <w:b/>
        </w:rPr>
      </w:pPr>
      <w:r>
        <w:rPr>
          <w:rFonts w:cs="Times New Roman"/>
          <w:b/>
        </w:rPr>
        <w:t>12、桥头镇</w:t>
      </w:r>
    </w:p>
    <w:p>
      <w:pPr>
        <w:ind w:firstLine="480"/>
        <w:rPr>
          <w:rFonts w:cs="Times New Roman"/>
        </w:rPr>
      </w:pPr>
      <w:r>
        <w:rPr>
          <w:rFonts w:cs="Times New Roman"/>
        </w:rPr>
        <w:t>桥头镇下设井道沟村、涧沟村、桥头村、吴家梁村、白家庄村、见虎焉村、苏家里村、夏柳青村、栓家坪村、桑园村、杨家峁村、石堎村、石棱湾村、刘家洼村、郝家里村、炭峪沟村、孙家墕村、枣林村、东局村、深沟村、桥沟村、石塘村、马蹄罕村、王家里村、张家寨村、韩家塔村、薛塔村等27个行政村，常住人口5239人，人均污水排放量为23~38L/d。见虎焉村通过暗渠排放至排洪渠，夏柳青村通过暗渠排放至山沟，其余村落采取直排自然下渗的方式。有16个行政村处于沿河三公里农村污水排放区域，所属流域为朱家川流域。所有村落均有畜禽养殖产生，排放方式也采取了直排下渗的方式。</w:t>
      </w:r>
    </w:p>
    <w:p>
      <w:pPr>
        <w:pStyle w:val="64"/>
        <w:rPr>
          <w:rFonts w:cs="Times New Roman"/>
        </w:rPr>
      </w:pPr>
      <w:r>
        <w:rPr>
          <w:rFonts w:cs="Times New Roman"/>
        </w:rPr>
        <w:drawing>
          <wp:inline distT="0" distB="0" distL="0" distR="0">
            <wp:extent cx="1325880" cy="2338705"/>
            <wp:effectExtent l="0" t="0" r="7620" b="444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30606" cy="2347042"/>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4136390" cy="2345055"/>
            <wp:effectExtent l="0" t="0" r="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183037" cy="2371484"/>
                    </a:xfrm>
                    <a:prstGeom prst="rect">
                      <a:avLst/>
                    </a:prstGeom>
                    <a:noFill/>
                    <a:ln>
                      <a:noFill/>
                    </a:ln>
                  </pic:spPr>
                </pic:pic>
              </a:graphicData>
            </a:graphic>
          </wp:inline>
        </w:drawing>
      </w:r>
    </w:p>
    <w:p>
      <w:pPr>
        <w:pStyle w:val="64"/>
        <w:rPr>
          <w:rFonts w:eastAsia="黑体" w:cs="Times New Roman"/>
          <w:bCs/>
          <w:szCs w:val="20"/>
        </w:rPr>
      </w:pPr>
      <w:r>
        <w:rPr>
          <w:rFonts w:eastAsia="黑体" w:cs="Times New Roman"/>
          <w:bCs/>
          <w:szCs w:val="20"/>
        </w:rPr>
        <w:drawing>
          <wp:inline distT="0" distB="0" distL="0" distR="0">
            <wp:extent cx="2919730" cy="3159125"/>
            <wp:effectExtent l="0" t="0" r="13970" b="317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66" cstate="print">
                      <a:extLst>
                        <a:ext uri="{28A0092B-C50C-407E-A947-70E740481C1C}">
                          <a14:useLocalDpi xmlns:a14="http://schemas.microsoft.com/office/drawing/2010/main" val="0"/>
                        </a:ext>
                      </a:extLst>
                    </a:blip>
                    <a:srcRect t="23493"/>
                    <a:stretch>
                      <a:fillRect/>
                    </a:stretch>
                  </pic:blipFill>
                  <pic:spPr>
                    <a:xfrm>
                      <a:off x="0" y="0"/>
                      <a:ext cx="2923636" cy="3159125"/>
                    </a:xfrm>
                    <a:prstGeom prst="rect">
                      <a:avLst/>
                    </a:prstGeom>
                    <a:ln>
                      <a:noFill/>
                    </a:ln>
                  </pic:spPr>
                </pic:pic>
              </a:graphicData>
            </a:graphic>
          </wp:inline>
        </w:drawing>
      </w:r>
      <w:r>
        <w:rPr>
          <w:rFonts w:hint="eastAsia" w:eastAsia="黑体" w:cs="Times New Roman"/>
          <w:bCs/>
          <w:szCs w:val="20"/>
        </w:rPr>
        <w:t xml:space="preserve"> </w:t>
      </w:r>
      <w:r>
        <w:rPr>
          <w:rFonts w:eastAsia="黑体" w:cs="Times New Roman"/>
          <w:bCs/>
          <w:szCs w:val="20"/>
        </w:rPr>
        <w:drawing>
          <wp:inline distT="0" distB="0" distL="0" distR="0">
            <wp:extent cx="2517140" cy="3155315"/>
            <wp:effectExtent l="0" t="0" r="16510" b="698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67" cstate="print">
                      <a:extLst>
                        <a:ext uri="{28A0092B-C50C-407E-A947-70E740481C1C}">
                          <a14:useLocalDpi xmlns:a14="http://schemas.microsoft.com/office/drawing/2010/main" val="0"/>
                        </a:ext>
                      </a:extLst>
                    </a:blip>
                    <a:srcRect t="6089"/>
                    <a:stretch>
                      <a:fillRect/>
                    </a:stretch>
                  </pic:blipFill>
                  <pic:spPr>
                    <a:xfrm>
                      <a:off x="0" y="0"/>
                      <a:ext cx="2522882" cy="3155315"/>
                    </a:xfrm>
                    <a:prstGeom prst="rect">
                      <a:avLst/>
                    </a:prstGeom>
                    <a:ln>
                      <a:noFill/>
                    </a:ln>
                  </pic:spPr>
                </pic:pic>
              </a:graphicData>
            </a:graphic>
          </wp:inline>
        </w:drawing>
      </w:r>
      <w:r>
        <w:rPr>
          <w:rFonts w:eastAsia="黑体" w:cs="Times New Roman"/>
          <w:bCs/>
          <w:szCs w:val="20"/>
        </w:rPr>
        <w:t>图 3</w:t>
      </w:r>
      <w:r>
        <w:rPr>
          <w:rFonts w:eastAsia="黑体" w:cs="Times New Roman"/>
          <w:bCs/>
          <w:szCs w:val="20"/>
        </w:rPr>
        <w:noBreakHyphen/>
      </w:r>
      <w:r>
        <w:rPr>
          <w:rFonts w:eastAsia="黑体" w:cs="Times New Roman"/>
          <w:bCs/>
          <w:szCs w:val="20"/>
        </w:rPr>
        <w:t>12  桥头镇现场调研图</w:t>
      </w:r>
    </w:p>
    <w:p>
      <w:pPr>
        <w:ind w:firstLine="482"/>
        <w:rPr>
          <w:rFonts w:cs="Times New Roman"/>
          <w:b/>
        </w:rPr>
      </w:pPr>
      <w:r>
        <w:rPr>
          <w:rFonts w:cs="Times New Roman"/>
          <w:b/>
        </w:rPr>
        <w:t>13、东关镇</w:t>
      </w:r>
    </w:p>
    <w:p>
      <w:pPr>
        <w:ind w:firstLine="480"/>
        <w:rPr>
          <w:rFonts w:cs="Times New Roman"/>
        </w:rPr>
      </w:pPr>
      <w:r>
        <w:rPr>
          <w:rFonts w:cs="Times New Roman"/>
        </w:rPr>
        <w:t>东关镇是保德县县政府所在地，也是常住人口最多的乡镇。下设新庄子村、刘家堰村、大烟墩村、大树梁村、西南沟村、城内村、陈家梁村、麻堰村、铁匠铺村、郭家滩村、佘家梁村、前芦子沟、马家洼村、康家滩村、后沟村、陈家塔村、庙梁村、张家圪塔村、王家滩村、马家滩村、康家塔村、大黄坡村、新窑村等23个行政村，常住人口21857人，人均污水排放量为22~41L/d。马家滩村、康家滩村、后沟村、陈家塔村、庙梁村的生活污水并入城市污水管网统一处理，张家圪塔村采用汽车转运至污水处理厂统一处理，其余村落采取直排自然下渗或者排至排洪渠的方式处，这部分村落离城区距离较远，大部分村落都存在畜禽养殖，排放方式也采取了直排下渗的方式。</w:t>
      </w:r>
    </w:p>
    <w:p>
      <w:pPr>
        <w:pStyle w:val="64"/>
        <w:rPr>
          <w:rFonts w:cs="Times New Roman"/>
        </w:rPr>
      </w:pPr>
      <w:r>
        <w:rPr>
          <w:rFonts w:cs="Times New Roman"/>
        </w:rPr>
        <w:drawing>
          <wp:inline distT="0" distB="0" distL="0" distR="0">
            <wp:extent cx="4081145" cy="2468880"/>
            <wp:effectExtent l="0" t="0" r="0" b="762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125757" cy="2496257"/>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1417320" cy="2499995"/>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17434" cy="2500196"/>
                    </a:xfrm>
                    <a:prstGeom prst="rect">
                      <a:avLst/>
                    </a:prstGeom>
                    <a:noFill/>
                    <a:ln>
                      <a:noFill/>
                    </a:ln>
                  </pic:spPr>
                </pic:pic>
              </a:graphicData>
            </a:graphic>
          </wp:inline>
        </w:drawing>
      </w:r>
    </w:p>
    <w:p>
      <w:pPr>
        <w:pStyle w:val="64"/>
        <w:rPr>
          <w:rFonts w:cs="Times New Roman"/>
        </w:rPr>
      </w:pPr>
      <w:r>
        <w:rPr>
          <w:rFonts w:cs="Times New Roman"/>
        </w:rPr>
        <w:drawing>
          <wp:inline distT="0" distB="0" distL="0" distR="0">
            <wp:extent cx="3923665" cy="2224405"/>
            <wp:effectExtent l="0" t="0" r="635" b="444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924000" cy="2224626"/>
                    </a:xfrm>
                    <a:prstGeom prst="rect">
                      <a:avLst/>
                    </a:prstGeom>
                    <a:noFill/>
                    <a:ln>
                      <a:noFill/>
                    </a:ln>
                  </pic:spPr>
                </pic:pic>
              </a:graphicData>
            </a:graphic>
          </wp:inline>
        </w:drawing>
      </w:r>
      <w:r>
        <w:rPr>
          <w:rFonts w:hint="eastAsia" w:cs="Times New Roman"/>
        </w:rPr>
        <w:t xml:space="preserve"> </w:t>
      </w:r>
      <w:r>
        <w:rPr>
          <w:rFonts w:cs="Times New Roman"/>
        </w:rPr>
        <w:drawing>
          <wp:inline distT="0" distB="0" distL="0" distR="0">
            <wp:extent cx="1511935" cy="2224405"/>
            <wp:effectExtent l="0" t="0" r="0" b="4445"/>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pic:cNvPicPr>
                  </pic:nvPicPr>
                  <pic:blipFill>
                    <a:blip r:embed="rId71" cstate="print">
                      <a:extLst>
                        <a:ext uri="{28A0092B-C50C-407E-A947-70E740481C1C}">
                          <a14:useLocalDpi xmlns:a14="http://schemas.microsoft.com/office/drawing/2010/main" val="0"/>
                        </a:ext>
                      </a:extLst>
                    </a:blip>
                    <a:srcRect t="16586"/>
                    <a:stretch>
                      <a:fillRect/>
                    </a:stretch>
                  </pic:blipFill>
                  <pic:spPr>
                    <a:xfrm>
                      <a:off x="0" y="0"/>
                      <a:ext cx="1512000" cy="2224598"/>
                    </a:xfrm>
                    <a:prstGeom prst="rect">
                      <a:avLst/>
                    </a:prstGeom>
                    <a:ln>
                      <a:noFill/>
                    </a:ln>
                  </pic:spPr>
                </pic:pic>
              </a:graphicData>
            </a:graphic>
          </wp:inline>
        </w:drawing>
      </w:r>
    </w:p>
    <w:p>
      <w:pPr>
        <w:pStyle w:val="64"/>
        <w:rPr>
          <w:rFonts w:eastAsia="黑体" w:cs="Times New Roman"/>
          <w:bCs/>
          <w:szCs w:val="20"/>
        </w:rPr>
      </w:pPr>
      <w:r>
        <w:rPr>
          <w:rFonts w:eastAsia="黑体" w:cs="Times New Roman"/>
          <w:bCs/>
          <w:szCs w:val="20"/>
        </w:rPr>
        <w:t>图 3</w:t>
      </w:r>
      <w:r>
        <w:rPr>
          <w:rFonts w:eastAsia="黑体" w:cs="Times New Roman"/>
          <w:bCs/>
          <w:szCs w:val="20"/>
        </w:rPr>
        <w:noBreakHyphen/>
      </w:r>
      <w:r>
        <w:rPr>
          <w:rFonts w:eastAsia="黑体" w:cs="Times New Roman"/>
          <w:bCs/>
          <w:szCs w:val="20"/>
        </w:rPr>
        <w:t>13东关镇现场调研图</w:t>
      </w:r>
    </w:p>
    <w:p>
      <w:pPr>
        <w:pStyle w:val="8"/>
        <w:rPr>
          <w:rFonts w:ascii="Times New Roman" w:hAnsi="Times New Roman" w:cs="Times New Roman"/>
        </w:rPr>
      </w:pPr>
      <w:r>
        <w:rPr>
          <w:rFonts w:ascii="Times New Roman" w:hAnsi="Times New Roman" w:cs="Times New Roman"/>
        </w:rPr>
        <w:t>3.1.3 农村生活污水处理设施建设现状</w:t>
      </w:r>
    </w:p>
    <w:p>
      <w:pPr>
        <w:ind w:firstLine="480"/>
        <w:rPr>
          <w:rFonts w:cs="Times New Roman"/>
        </w:rPr>
      </w:pPr>
      <w:r>
        <w:rPr>
          <w:rFonts w:cs="Times New Roman"/>
        </w:rPr>
        <w:t>根据《忻州市生态环境局关于忻州市农村污水排放及治理情况的调查报告》（忻环（2019) 78号），保德县共有7座污水处理设施，目前正常运行的1座，分别为保德县污水处理站。停止污水处理的设施有5座，分别位于保德县花园村、保德县暖泉村、保德县义门村、保德县冯家川村（康熙枣园）、保德县冯家川村污水处理站，拆除了1座</w:t>
      </w:r>
      <w:r>
        <w:rPr>
          <w:rFonts w:hint="eastAsia" w:cs="Times New Roman"/>
        </w:rPr>
        <w:t>---</w:t>
      </w:r>
      <w:r>
        <w:rPr>
          <w:rFonts w:cs="Times New Roman"/>
        </w:rPr>
        <w:t>保德县东关镇马家滩村污水处理设施。</w:t>
      </w:r>
    </w:p>
    <w:p>
      <w:pPr>
        <w:ind w:firstLine="480"/>
        <w:rPr>
          <w:rFonts w:cs="Times New Roman"/>
        </w:rPr>
      </w:pPr>
      <w:r>
        <w:rPr>
          <w:rFonts w:cs="Times New Roman"/>
        </w:rPr>
        <w:t>（1）保德县污水处理站位于东关镇李贤</w:t>
      </w:r>
      <w:r>
        <w:rPr>
          <w:rFonts w:hint="eastAsia" w:cs="Times New Roman"/>
          <w:lang w:eastAsia="zh-CN"/>
        </w:rPr>
        <w:t>堎</w:t>
      </w:r>
      <w:r>
        <w:rPr>
          <w:rFonts w:cs="Times New Roman"/>
        </w:rPr>
        <w:t>村，2009年7月开工建设，2010年9月完成管网建设，并投入使用。污水处理采用A</w:t>
      </w:r>
      <w:r>
        <w:rPr>
          <w:rFonts w:cs="Times New Roman"/>
          <w:vertAlign w:val="superscript"/>
        </w:rPr>
        <w:t>2</w:t>
      </w:r>
      <w:r>
        <w:rPr>
          <w:rFonts w:cs="Times New Roman"/>
        </w:rPr>
        <w:t>/O化学辅助除磷工艺。设计日处理污水1.5万m3/d，污水排放标准出水水质为一级A标准，水质COD、氨氮及总磷达到地表水环境质量标准V类。</w:t>
      </w:r>
    </w:p>
    <w:p>
      <w:pPr>
        <w:ind w:firstLine="480"/>
        <w:rPr>
          <w:rFonts w:cs="Times New Roman"/>
        </w:rPr>
      </w:pPr>
      <w:r>
        <w:rPr>
          <w:rFonts w:cs="Times New Roman"/>
        </w:rPr>
        <w:t>（2）保德县东关镇马家滩村污水处理设施设计规模100m3/d，实际处理量40m3/d，服务人口200人，处理工艺A/O法，出水水质执行城镇生活污水处理厂污染物排放二级标准，排去方向为地表水体。2018年1月10日委托厂家技术人员对污水处理站的设备进行了检修，并拿出了运行方案，做出了运行经费预算，2018年1月26日保财预〔2018〕7号文件下达东关镇政府运行经费16.5万元，合同运行时限为2018年6月13日-2019年6月13日，合同时限内污水处理站正常运行。2019年9月因修建马家滩农贸市场，马家滩污水处理站已拆除，原有污水接入县城生活污水处理管网进行处理。</w:t>
      </w:r>
    </w:p>
    <w:p>
      <w:pPr>
        <w:ind w:firstLine="480"/>
        <w:rPr>
          <w:rFonts w:cs="Times New Roman"/>
        </w:rPr>
      </w:pPr>
      <w:r>
        <w:rPr>
          <w:rFonts w:cs="Times New Roman"/>
        </w:rPr>
        <w:t>（3）保德县冯家川村污水处理设施设计规模25 m</w:t>
      </w:r>
      <w:r>
        <w:rPr>
          <w:rFonts w:cs="Times New Roman"/>
          <w:vertAlign w:val="superscript"/>
        </w:rPr>
        <w:t>3</w:t>
      </w:r>
      <w:r>
        <w:rPr>
          <w:rFonts w:cs="Times New Roman"/>
        </w:rPr>
        <w:t>/d，实际处理量为15 m</w:t>
      </w:r>
      <w:r>
        <w:rPr>
          <w:rFonts w:cs="Times New Roman"/>
          <w:vertAlign w:val="superscript"/>
        </w:rPr>
        <w:t>3</w:t>
      </w:r>
      <w:r>
        <w:rPr>
          <w:rFonts w:cs="Times New Roman"/>
        </w:rPr>
        <w:t>/d，服务人口70人，处理工艺A/O法，出水水质执行城镇生活污水处理厂污染物排放二级标准，排去方向为自然下渗。运行经费由保德县财政支持。2018年1月10日委托厂家技术人员对污水处理站的设备进行了检修，并拿出了运行方案，做出了运行经费预算，2018年1月26日保财预〔2018〕7号文件下达冯家川乡政府运行经费13.22万元，合同运行时限为2018年6月13日-2019年6月13日，合同时限内污水处理站正常运行。现由于运行经费未支付，因此污水处理站处于停运状态。</w:t>
      </w:r>
    </w:p>
    <w:p>
      <w:pPr>
        <w:ind w:firstLine="480"/>
        <w:rPr>
          <w:rFonts w:cs="Times New Roman"/>
        </w:rPr>
      </w:pPr>
      <w:r>
        <w:rPr>
          <w:rFonts w:cs="Times New Roman"/>
        </w:rPr>
        <w:t>（4）保德县花园村污水处理设施设计规模40 m</w:t>
      </w:r>
      <w:r>
        <w:rPr>
          <w:rFonts w:cs="Times New Roman"/>
          <w:vertAlign w:val="superscript"/>
        </w:rPr>
        <w:t>3</w:t>
      </w:r>
      <w:r>
        <w:rPr>
          <w:rFonts w:cs="Times New Roman"/>
        </w:rPr>
        <w:t>/d，服务人口400人，处理工艺A/O法，出水水质执行城镇生活污水处理厂污染物排放二级标准，排去方向为地表水体。尚未确定经费来源。该污水处理站设计主要是处理花园村学校的生活污水，污水站建设时学校有400多名学生，现由于学生转学等多种原因，学校仅有少数学生，污水产生量不能满足污水处理站的正常运行，导致设施停置。</w:t>
      </w:r>
    </w:p>
    <w:p>
      <w:pPr>
        <w:ind w:firstLine="480"/>
        <w:rPr>
          <w:rFonts w:cs="Times New Roman"/>
        </w:rPr>
      </w:pPr>
      <w:r>
        <w:rPr>
          <w:rFonts w:cs="Times New Roman"/>
        </w:rPr>
        <w:t>（5）保德县暖泉村污水处理设施设计规模25 m</w:t>
      </w:r>
      <w:r>
        <w:rPr>
          <w:rFonts w:cs="Times New Roman"/>
          <w:vertAlign w:val="superscript"/>
        </w:rPr>
        <w:t>3</w:t>
      </w:r>
      <w:r>
        <w:rPr>
          <w:rFonts w:cs="Times New Roman"/>
        </w:rPr>
        <w:t>/d，服务人口70人，处理工艺A/O法，出水水质执行城镇生活污水处理厂污染物排放二级标准，排去方向为地表水体。尚未确定经费来源。该污水处理站主要服务于义门镇卫生院和义门镇派出所，现义门镇卫生院已搬迁，仅义门镇派出所的污水产生量无法满足污水处理站的正常运行，导致设施停置。</w:t>
      </w:r>
    </w:p>
    <w:p>
      <w:pPr>
        <w:ind w:firstLine="480"/>
        <w:rPr>
          <w:rFonts w:cs="Times New Roman"/>
        </w:rPr>
      </w:pPr>
      <w:r>
        <w:rPr>
          <w:rFonts w:cs="Times New Roman"/>
        </w:rPr>
        <w:t>（6）保德县义门村污水处理设施设计规模100 m</w:t>
      </w:r>
      <w:r>
        <w:rPr>
          <w:rFonts w:cs="Times New Roman"/>
          <w:vertAlign w:val="superscript"/>
        </w:rPr>
        <w:t>3</w:t>
      </w:r>
      <w:r>
        <w:rPr>
          <w:rFonts w:cs="Times New Roman"/>
        </w:rPr>
        <w:t>/d，服务人口600人，处理工艺A/O法，出水水质执行城镇生活污水处理厂污染物排放一级A标准，排去方向为地表水体。尚未确定经费来源。由于义门村生活污水收集难度大，管网配套不完善，污水收集不足，污水处理站手续不齐全，未运行导致设施停置。</w:t>
      </w:r>
    </w:p>
    <w:p>
      <w:pPr>
        <w:ind w:firstLine="480"/>
        <w:rPr>
          <w:rFonts w:cs="Times New Roman"/>
        </w:rPr>
      </w:pPr>
      <w:r>
        <w:rPr>
          <w:rFonts w:cs="Times New Roman"/>
        </w:rPr>
        <w:t>（7）保德县冯家川村（康熙枣园）污水处理设施设计规模40 m</w:t>
      </w:r>
      <w:r>
        <w:rPr>
          <w:rFonts w:cs="Times New Roman"/>
          <w:vertAlign w:val="superscript"/>
        </w:rPr>
        <w:t>3</w:t>
      </w:r>
      <w:r>
        <w:rPr>
          <w:rFonts w:cs="Times New Roman"/>
        </w:rPr>
        <w:t>/d，服务人口200人，处理 工艺A</w:t>
      </w:r>
      <w:r>
        <w:rPr>
          <w:rFonts w:cs="Times New Roman"/>
          <w:vertAlign w:val="superscript"/>
        </w:rPr>
        <w:t>2</w:t>
      </w:r>
      <w:r>
        <w:rPr>
          <w:rFonts w:cs="Times New Roman"/>
        </w:rPr>
        <w:t>/O法，出水水质执行城镇生活污水处理厂污染物排放二级标准，排去方向为地表水体。该污水处理站的初设服务对象是冯家川康熙枣园，由于枣园项目在已完成工程投资的50%以上时，原“一企一项”建设单位是王家岭煤业有限公司，中途资金匮乏，该项目已移交天生红枣有限公司续建。截止目前，康熙枣园未建成，因此，污水处理站处于停运状态。待枣园建成后，企业按照图纸建设配套官网接入污水处理站，并对污水处理站设施设备巡检后即可投入运行。</w:t>
      </w:r>
    </w:p>
    <w:p>
      <w:pPr>
        <w:pStyle w:val="7"/>
        <w:rPr>
          <w:rFonts w:ascii="Times New Roman" w:hAnsi="Times New Roman" w:cs="Times New Roman"/>
        </w:rPr>
      </w:pPr>
      <w:bookmarkStart w:id="33" w:name="_Toc43848810"/>
      <w:r>
        <w:rPr>
          <w:rFonts w:ascii="Times New Roman" w:hAnsi="Times New Roman" w:cs="Times New Roman"/>
        </w:rPr>
        <w:t>3.2 污染负荷量预测</w:t>
      </w:r>
      <w:bookmarkEnd w:id="33"/>
    </w:p>
    <w:p>
      <w:pPr>
        <w:pStyle w:val="8"/>
        <w:rPr>
          <w:rFonts w:ascii="Times New Roman" w:hAnsi="Times New Roman" w:cs="Times New Roman"/>
        </w:rPr>
      </w:pPr>
      <w:r>
        <w:rPr>
          <w:rFonts w:ascii="Times New Roman" w:hAnsi="Times New Roman" w:cs="Times New Roman"/>
        </w:rPr>
        <w:t>3.2.1 污水排放量</w:t>
      </w:r>
    </w:p>
    <w:p>
      <w:pPr>
        <w:pStyle w:val="64"/>
        <w:ind w:firstLine="488"/>
        <w:jc w:val="both"/>
        <w:rPr>
          <w:rFonts w:eastAsia="宋体" w:cs="Times New Roman"/>
          <w:kern w:val="0"/>
          <w:sz w:val="24"/>
          <w:szCs w:val="24"/>
        </w:rPr>
      </w:pPr>
      <w:r>
        <w:rPr>
          <w:rFonts w:eastAsia="宋体" w:cs="Times New Roman"/>
          <w:kern w:val="0"/>
          <w:sz w:val="24"/>
          <w:szCs w:val="24"/>
        </w:rPr>
        <w:t>排水量的统计基于两种方式，一种是自来水供水的村庄，通过水费缴纳情况统计相应的用水量，排水量由用水量和排水系数获得；另一种是无自来水供给的村庄，由于用水量无法统计，考虑到一般家中将桶作为装污水的工具，基于每天污水装满桶的情况，每桶容积介于10～18L，从而估算排水量。</w:t>
      </w:r>
    </w:p>
    <w:p>
      <w:pPr>
        <w:pStyle w:val="64"/>
        <w:ind w:firstLine="488"/>
        <w:jc w:val="both"/>
        <w:rPr>
          <w:rFonts w:eastAsia="宋体" w:cs="Times New Roman"/>
          <w:kern w:val="0"/>
          <w:sz w:val="24"/>
          <w:szCs w:val="24"/>
        </w:rPr>
      </w:pPr>
      <w:r>
        <w:rPr>
          <w:rFonts w:eastAsia="宋体" w:cs="Times New Roman"/>
          <w:kern w:val="0"/>
          <w:sz w:val="24"/>
          <w:szCs w:val="24"/>
        </w:rPr>
        <w:t>根据现场调研结果，对所有乡镇行政村进行了污水排放量进行了调查，供水相对充足，道路与庭院部分硬化村庄的人均排水量约20～40L/（d•人），供水不足，给水排水设施不完善，道路与庭院未硬化村庄的人均排水量约3～20 L/（d•人），人均生活污水排放量乘以村庄人口数为村庄生活污水排放量，计算结果见表3-2。保德县农村生活污水总排放量为1253.81 m</w:t>
      </w:r>
      <w:r>
        <w:rPr>
          <w:rFonts w:eastAsia="宋体" w:cs="Times New Roman"/>
          <w:kern w:val="0"/>
          <w:sz w:val="24"/>
          <w:szCs w:val="24"/>
          <w:vertAlign w:val="superscript"/>
        </w:rPr>
        <w:t>3</w:t>
      </w:r>
      <w:r>
        <w:rPr>
          <w:rFonts w:eastAsia="宋体" w:cs="Times New Roman"/>
          <w:kern w:val="0"/>
          <w:sz w:val="24"/>
          <w:szCs w:val="24"/>
        </w:rPr>
        <w:t>/d。</w:t>
      </w:r>
    </w:p>
    <w:p>
      <w:pPr>
        <w:pStyle w:val="16"/>
        <w:ind w:firstLine="0" w:firstLineChars="0"/>
        <w:rPr>
          <w:rFonts w:eastAsia="黑体" w:cs="Times New Roman"/>
          <w:b w:val="0"/>
          <w:bCs/>
        </w:rPr>
      </w:pPr>
      <w:r>
        <w:rPr>
          <w:rFonts w:eastAsia="黑体" w:cs="Times New Roman"/>
          <w:b w:val="0"/>
          <w:bCs/>
        </w:rPr>
        <w:t>表 3-2  保德县各村庄生活污水排放量</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1"/>
        <w:gridCol w:w="1491"/>
        <w:gridCol w:w="1546"/>
        <w:gridCol w:w="1491"/>
        <w:gridCol w:w="1546"/>
        <w:gridCol w:w="14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trPr>
        <w:tc>
          <w:tcPr>
            <w:tcW w:w="5000" w:type="pct"/>
            <w:gridSpan w:val="6"/>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东关镇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5"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rPr>
              <w:t>大黄坡村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rPr>
              <w:t>3.1</w:t>
            </w:r>
          </w:p>
        </w:tc>
        <w:tc>
          <w:tcPr>
            <w:tcW w:w="85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rPr>
              <w:t>西南沟村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rPr>
              <w:t>9.6</w:t>
            </w:r>
          </w:p>
        </w:tc>
        <w:tc>
          <w:tcPr>
            <w:tcW w:w="85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rPr>
              <w:t>佘家梁村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rPr>
              <w:t>4.148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rPr>
              <w:t>新窑村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rPr>
              <w:t>3.5</w:t>
            </w:r>
          </w:p>
        </w:tc>
        <w:tc>
          <w:tcPr>
            <w:tcW w:w="85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rPr>
              <w:t>城内村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rPr>
              <w:t>14.7</w:t>
            </w:r>
          </w:p>
        </w:tc>
        <w:tc>
          <w:tcPr>
            <w:tcW w:w="85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rPr>
              <w:t>前芦子沟</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rPr>
              <w:t>4.32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rPr>
              <w:t>新庄子村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rPr>
              <w:t>4.686</w:t>
            </w:r>
          </w:p>
        </w:tc>
        <w:tc>
          <w:tcPr>
            <w:tcW w:w="85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rPr>
              <w:t>陈家梁村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rPr>
              <w:t>4.94</w:t>
            </w:r>
          </w:p>
        </w:tc>
        <w:tc>
          <w:tcPr>
            <w:tcW w:w="85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rPr>
              <w:t>马家洼村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rPr>
              <w:t>22.55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rPr>
              <w:t>刘家堰村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rPr>
              <w:t>1.496</w:t>
            </w:r>
          </w:p>
        </w:tc>
        <w:tc>
          <w:tcPr>
            <w:tcW w:w="85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rPr>
              <w:t>麻堰村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rPr>
              <w:t>6.52</w:t>
            </w:r>
          </w:p>
        </w:tc>
        <w:tc>
          <w:tcPr>
            <w:tcW w:w="85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rPr>
              <w:t>康家滩村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rPr>
              <w:t>40.25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rPr>
              <w:t>大烟墩村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rPr>
              <w:t>1.958</w:t>
            </w:r>
          </w:p>
        </w:tc>
        <w:tc>
          <w:tcPr>
            <w:tcW w:w="85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rPr>
              <w:t>铁匠铺村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rPr>
              <w:t>66.6</w:t>
            </w:r>
          </w:p>
        </w:tc>
        <w:tc>
          <w:tcPr>
            <w:tcW w:w="85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rPr>
              <w:t>后沟村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rPr>
              <w:t>26.604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rPr>
              <w:t>大树梁村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rPr>
              <w:t>1.988</w:t>
            </w:r>
          </w:p>
        </w:tc>
        <w:tc>
          <w:tcPr>
            <w:tcW w:w="85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rPr>
              <w:t>郭家滩村</w:t>
            </w:r>
          </w:p>
        </w:tc>
        <w:tc>
          <w:tcPr>
            <w:tcW w:w="82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rPr>
              <w:t>191.4</w:t>
            </w:r>
          </w:p>
        </w:tc>
        <w:tc>
          <w:tcPr>
            <w:tcW w:w="85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rPr>
              <w:t>陈家塔村</w:t>
            </w:r>
          </w:p>
        </w:tc>
        <w:tc>
          <w:tcPr>
            <w:tcW w:w="825"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rPr>
              <w:t>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rPr>
            </w:pPr>
            <w:r>
              <w:rPr>
                <w:rFonts w:cs="Times New Roman"/>
                <w:sz w:val="21"/>
              </w:rPr>
              <w:t>庙梁村</w:t>
            </w:r>
          </w:p>
        </w:tc>
        <w:tc>
          <w:tcPr>
            <w:tcW w:w="823" w:type="pct"/>
            <w:shd w:val="clear" w:color="auto" w:fill="auto"/>
            <w:noWrap/>
          </w:tcPr>
          <w:p>
            <w:pPr>
              <w:widowControl/>
              <w:spacing w:line="240" w:lineRule="auto"/>
              <w:ind w:firstLine="0" w:firstLineChars="0"/>
              <w:jc w:val="center"/>
              <w:rPr>
                <w:rFonts w:cs="Times New Roman"/>
                <w:sz w:val="21"/>
              </w:rPr>
            </w:pPr>
            <w:r>
              <w:rPr>
                <w:rFonts w:cs="Times New Roman"/>
                <w:sz w:val="21"/>
              </w:rPr>
              <w:t>26.112</w:t>
            </w:r>
          </w:p>
        </w:tc>
        <w:tc>
          <w:tcPr>
            <w:tcW w:w="853" w:type="pct"/>
            <w:shd w:val="clear" w:color="auto" w:fill="auto"/>
            <w:noWrap/>
          </w:tcPr>
          <w:p>
            <w:pPr>
              <w:widowControl/>
              <w:spacing w:line="240" w:lineRule="auto"/>
              <w:ind w:firstLine="0" w:firstLineChars="0"/>
              <w:jc w:val="center"/>
              <w:rPr>
                <w:rFonts w:cs="Times New Roman"/>
                <w:sz w:val="21"/>
              </w:rPr>
            </w:pPr>
            <w:r>
              <w:rPr>
                <w:rFonts w:cs="Times New Roman"/>
                <w:sz w:val="21"/>
              </w:rPr>
              <w:t>张家圪</w:t>
            </w:r>
            <w:r>
              <w:rPr>
                <w:rFonts w:hint="eastAsia" w:cs="Times New Roman"/>
                <w:sz w:val="21"/>
                <w:lang w:eastAsia="zh-CN"/>
              </w:rPr>
              <w:t>坨</w:t>
            </w:r>
            <w:r>
              <w:rPr>
                <w:rFonts w:cs="Times New Roman"/>
                <w:sz w:val="21"/>
              </w:rPr>
              <w:t>村</w:t>
            </w:r>
          </w:p>
        </w:tc>
        <w:tc>
          <w:tcPr>
            <w:tcW w:w="823" w:type="pct"/>
            <w:shd w:val="clear" w:color="auto" w:fill="auto"/>
            <w:noWrap/>
          </w:tcPr>
          <w:p>
            <w:pPr>
              <w:widowControl/>
              <w:spacing w:line="240" w:lineRule="auto"/>
              <w:ind w:firstLine="0" w:firstLineChars="0"/>
              <w:jc w:val="center"/>
              <w:rPr>
                <w:rFonts w:cs="Times New Roman"/>
                <w:sz w:val="21"/>
              </w:rPr>
            </w:pPr>
            <w:r>
              <w:rPr>
                <w:rFonts w:cs="Times New Roman"/>
                <w:sz w:val="21"/>
              </w:rPr>
              <w:t>22.08</w:t>
            </w:r>
          </w:p>
        </w:tc>
        <w:tc>
          <w:tcPr>
            <w:tcW w:w="853" w:type="pct"/>
            <w:shd w:val="clear" w:color="auto" w:fill="auto"/>
            <w:noWrap/>
          </w:tcPr>
          <w:p>
            <w:pPr>
              <w:widowControl/>
              <w:spacing w:line="240" w:lineRule="auto"/>
              <w:ind w:firstLine="0" w:firstLineChars="0"/>
              <w:jc w:val="center"/>
              <w:rPr>
                <w:rFonts w:cs="Times New Roman"/>
                <w:sz w:val="21"/>
              </w:rPr>
            </w:pPr>
            <w:r>
              <w:rPr>
                <w:rFonts w:cs="Times New Roman"/>
                <w:sz w:val="21"/>
              </w:rPr>
              <w:t>王家滩村</w:t>
            </w:r>
          </w:p>
        </w:tc>
        <w:tc>
          <w:tcPr>
            <w:tcW w:w="825" w:type="pct"/>
            <w:shd w:val="clear" w:color="auto" w:fill="auto"/>
            <w:noWrap/>
          </w:tcPr>
          <w:p>
            <w:pPr>
              <w:widowControl/>
              <w:spacing w:line="240" w:lineRule="auto"/>
              <w:ind w:firstLine="0" w:firstLineChars="0"/>
              <w:jc w:val="center"/>
              <w:rPr>
                <w:rFonts w:cs="Times New Roman"/>
                <w:sz w:val="21"/>
              </w:rPr>
            </w:pPr>
            <w:r>
              <w:rPr>
                <w:rFonts w:cs="Times New Roman"/>
                <w:sz w:val="21"/>
              </w:rPr>
              <w:t>82.8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rPr>
            </w:pPr>
            <w:r>
              <w:rPr>
                <w:rFonts w:cs="Times New Roman"/>
                <w:sz w:val="21"/>
              </w:rPr>
              <w:t>马家滩村</w:t>
            </w:r>
          </w:p>
        </w:tc>
        <w:tc>
          <w:tcPr>
            <w:tcW w:w="823" w:type="pct"/>
            <w:shd w:val="clear" w:color="auto" w:fill="auto"/>
            <w:noWrap/>
          </w:tcPr>
          <w:p>
            <w:pPr>
              <w:widowControl/>
              <w:spacing w:line="240" w:lineRule="auto"/>
              <w:ind w:firstLine="0" w:firstLineChars="0"/>
              <w:jc w:val="center"/>
              <w:rPr>
                <w:rFonts w:cs="Times New Roman"/>
                <w:sz w:val="21"/>
              </w:rPr>
            </w:pPr>
            <w:r>
              <w:rPr>
                <w:rFonts w:cs="Times New Roman"/>
                <w:sz w:val="21"/>
              </w:rPr>
              <w:t>184.8</w:t>
            </w:r>
          </w:p>
        </w:tc>
        <w:tc>
          <w:tcPr>
            <w:tcW w:w="853" w:type="pct"/>
            <w:shd w:val="clear" w:color="auto" w:fill="auto"/>
            <w:noWrap/>
          </w:tcPr>
          <w:p>
            <w:pPr>
              <w:widowControl/>
              <w:spacing w:line="240" w:lineRule="auto"/>
              <w:ind w:firstLine="0" w:firstLineChars="0"/>
              <w:jc w:val="center"/>
              <w:rPr>
                <w:rFonts w:cs="Times New Roman"/>
                <w:sz w:val="21"/>
              </w:rPr>
            </w:pPr>
            <w:r>
              <w:rPr>
                <w:rFonts w:cs="Times New Roman"/>
                <w:sz w:val="21"/>
              </w:rPr>
              <w:t>康家塔村</w:t>
            </w:r>
          </w:p>
        </w:tc>
        <w:tc>
          <w:tcPr>
            <w:tcW w:w="823" w:type="pct"/>
            <w:shd w:val="clear" w:color="auto" w:fill="auto"/>
            <w:noWrap/>
          </w:tcPr>
          <w:p>
            <w:pPr>
              <w:widowControl/>
              <w:spacing w:line="240" w:lineRule="auto"/>
              <w:ind w:firstLine="0" w:firstLineChars="0"/>
              <w:jc w:val="center"/>
              <w:rPr>
                <w:rFonts w:cs="Times New Roman"/>
                <w:sz w:val="21"/>
              </w:rPr>
            </w:pPr>
            <w:r>
              <w:rPr>
                <w:rFonts w:cs="Times New Roman"/>
                <w:sz w:val="21"/>
              </w:rPr>
              <w:t>6</w:t>
            </w:r>
          </w:p>
        </w:tc>
        <w:tc>
          <w:tcPr>
            <w:tcW w:w="853" w:type="pct"/>
            <w:shd w:val="clear" w:color="auto" w:fill="auto"/>
            <w:noWrap/>
          </w:tcPr>
          <w:p>
            <w:pPr>
              <w:widowControl/>
              <w:spacing w:line="240" w:lineRule="auto"/>
              <w:ind w:firstLine="0" w:firstLineChars="0"/>
              <w:jc w:val="center"/>
              <w:rPr>
                <w:rFonts w:cs="Times New Roman"/>
                <w:sz w:val="21"/>
              </w:rPr>
            </w:pPr>
          </w:p>
        </w:tc>
        <w:tc>
          <w:tcPr>
            <w:tcW w:w="825" w:type="pct"/>
            <w:shd w:val="clear" w:color="auto" w:fill="auto"/>
            <w:noWrap/>
          </w:tcPr>
          <w:p>
            <w:pPr>
              <w:widowControl/>
              <w:spacing w:line="240" w:lineRule="auto"/>
              <w:ind w:firstLine="0" w:firstLineChars="0"/>
              <w:jc w:val="center"/>
              <w:rPr>
                <w:rFonts w:cs="Times New Roman"/>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gridSpan w:val="6"/>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义门镇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5"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雷家峁村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袁家里</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4.8</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庙峁村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崔家堎村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1.8</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康家沟</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2</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义门村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小赵家沟</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1.08</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狄家焉</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3.04</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梁家村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赵家寨</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0.91</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暖泉</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13.95</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永泉村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hint="eastAsia" w:cs="Times New Roman"/>
                <w:sz w:val="21"/>
                <w:szCs w:val="21"/>
                <w:lang w:eastAsia="zh-CN"/>
              </w:rPr>
              <w:t>刘</w:t>
            </w:r>
            <w:r>
              <w:rPr>
                <w:rFonts w:cs="Times New Roman"/>
                <w:sz w:val="21"/>
                <w:szCs w:val="21"/>
              </w:rPr>
              <w:t>家峁</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1.4</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天桥村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2.1</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团结村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王家焉</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5.5</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刘家畔村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3.5</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岳家里村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7.95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贾家峁村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2.3</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行宫焉村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0.8</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岳家沟</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张家峁村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1.2</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赵家沟</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1.4</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路家村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gridSpan w:val="6"/>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腰庄乡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5"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82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szCs w:val="21"/>
              </w:rPr>
              <w:t>白家墕村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7.128</w:t>
            </w:r>
          </w:p>
        </w:tc>
        <w:tc>
          <w:tcPr>
            <w:tcW w:w="85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szCs w:val="21"/>
              </w:rPr>
              <w:t>腰庄村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24.396</w:t>
            </w:r>
          </w:p>
        </w:tc>
        <w:tc>
          <w:tcPr>
            <w:tcW w:w="85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szCs w:val="21"/>
              </w:rPr>
              <w:t>孙家墕</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12.96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szCs w:val="21"/>
              </w:rPr>
              <w:t>代家沟</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1.89</w:t>
            </w:r>
          </w:p>
        </w:tc>
        <w:tc>
          <w:tcPr>
            <w:tcW w:w="853" w:type="pct"/>
            <w:shd w:val="clear" w:color="auto" w:fill="auto"/>
            <w:noWrap/>
          </w:tcPr>
          <w:p>
            <w:pPr>
              <w:widowControl/>
              <w:spacing w:line="240" w:lineRule="auto"/>
              <w:ind w:firstLine="0" w:firstLineChars="0"/>
              <w:jc w:val="center"/>
              <w:rPr>
                <w:rFonts w:eastAsia="等线" w:cs="Times New Roman"/>
                <w:sz w:val="21"/>
                <w:szCs w:val="21"/>
              </w:rPr>
            </w:pPr>
            <w:r>
              <w:rPr>
                <w:rFonts w:cs="Times New Roman"/>
                <w:sz w:val="21"/>
                <w:szCs w:val="21"/>
              </w:rPr>
              <w:t>冀家峁</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2.3</w:t>
            </w:r>
          </w:p>
        </w:tc>
        <w:tc>
          <w:tcPr>
            <w:tcW w:w="85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szCs w:val="21"/>
              </w:rPr>
              <w:t>路家沟</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3.72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szCs w:val="21"/>
              </w:rPr>
              <w:t>年延村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3.72</w:t>
            </w:r>
          </w:p>
        </w:tc>
        <w:tc>
          <w:tcPr>
            <w:tcW w:w="85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szCs w:val="21"/>
              </w:rPr>
              <w:t>后芦子村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11.18</w:t>
            </w:r>
          </w:p>
        </w:tc>
        <w:tc>
          <w:tcPr>
            <w:tcW w:w="85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szCs w:val="21"/>
              </w:rPr>
              <w:t>讲家沟</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2.52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szCs w:val="21"/>
              </w:rPr>
              <w:t>郭家峁</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1.679</w:t>
            </w:r>
          </w:p>
        </w:tc>
        <w:tc>
          <w:tcPr>
            <w:tcW w:w="85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szCs w:val="21"/>
              </w:rPr>
              <w:t>可王家里</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4.816</w:t>
            </w:r>
          </w:p>
        </w:tc>
        <w:tc>
          <w:tcPr>
            <w:tcW w:w="85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szCs w:val="21"/>
              </w:rPr>
              <w:t>冀家沟</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1.092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szCs w:val="21"/>
              </w:rPr>
              <w:t>铺房墕</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3</w:t>
            </w:r>
          </w:p>
        </w:tc>
        <w:tc>
          <w:tcPr>
            <w:tcW w:w="85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szCs w:val="21"/>
              </w:rPr>
              <w:t>马铺头</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0.416</w:t>
            </w:r>
          </w:p>
        </w:tc>
        <w:tc>
          <w:tcPr>
            <w:tcW w:w="853"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szCs w:val="21"/>
              </w:rPr>
              <w:t>赵家峁</w:t>
            </w:r>
          </w:p>
        </w:tc>
        <w:tc>
          <w:tcPr>
            <w:tcW w:w="825" w:type="pct"/>
            <w:shd w:val="clear" w:color="auto" w:fill="auto"/>
            <w:noWrap/>
          </w:tcPr>
          <w:p>
            <w:pPr>
              <w:widowControl/>
              <w:spacing w:line="240" w:lineRule="auto"/>
              <w:ind w:firstLine="0" w:firstLineChars="0"/>
              <w:jc w:val="center"/>
              <w:rPr>
                <w:rFonts w:cs="Times New Roman"/>
                <w:kern w:val="0"/>
                <w:sz w:val="21"/>
                <w:szCs w:val="21"/>
              </w:rPr>
            </w:pPr>
            <w:r>
              <w:rPr>
                <w:rFonts w:cs="Times New Roman"/>
                <w:sz w:val="21"/>
                <w:szCs w:val="21"/>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gridSpan w:val="6"/>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杨家湾镇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5"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太平头村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0.36</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李家峁村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0.945</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稻畦村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段家沟村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2.6</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花园村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8</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崔家湾村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霍家梁村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0.55</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前会村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2.85</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余铁村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孙家梁村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1.54</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后会村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0.8</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石洼村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王家洼村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0.8</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杨家湾村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3</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山头村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故城村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1.6</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郭家湾村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0.276</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崔家墕村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gridSpan w:val="6"/>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桥头镇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5"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w:t>
            </w:r>
          </w:p>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（m</w:t>
            </w:r>
            <w:r>
              <w:rPr>
                <w:rFonts w:eastAsia="黑体" w:cs="Times New Roman"/>
                <w:kern w:val="0"/>
                <w:sz w:val="21"/>
                <w:szCs w:val="21"/>
                <w:vertAlign w:val="superscript"/>
              </w:rPr>
              <w:t>3</w:t>
            </w:r>
            <w:r>
              <w:rPr>
                <w:rFonts w:eastAsia="黑体" w:cs="Times New Roman"/>
                <w:kern w:val="0"/>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井道沟村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1.518</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桑园村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3.24</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东局村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1.886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涧沟村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14.478</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杨家峁村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1.584</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深沟村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桥头村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38.76</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石堎村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6.48</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桥沟村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4.484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吴家梁村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2.66</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石棱湾村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3.708</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石塘村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1.334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白家庄村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7.13</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刘家洼村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6.734</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马蹄罕村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见虎焉村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4.216</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郝家里村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6.049</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王家里村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3.068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苏家里村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1.643</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炭峪沟村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3.591</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张家寨村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4.144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夏柳青村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16.12</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孙家墕村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5.16</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韩家塔村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5.428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hint="eastAsia" w:cs="Times New Roman"/>
                <w:sz w:val="21"/>
                <w:szCs w:val="21"/>
                <w:lang w:eastAsia="zh-CN"/>
              </w:rPr>
              <w:t>铨</w:t>
            </w:r>
            <w:r>
              <w:rPr>
                <w:rFonts w:cs="Times New Roman"/>
                <w:sz w:val="21"/>
                <w:szCs w:val="21"/>
              </w:rPr>
              <w:t>家坪村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1.855</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枣林村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3.36</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薛塔村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10.78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gridSpan w:val="6"/>
            <w:shd w:val="clear" w:color="auto" w:fill="auto"/>
            <w:noWrap/>
            <w:vAlign w:val="center"/>
          </w:tcPr>
          <w:p>
            <w:pPr>
              <w:widowControl/>
              <w:spacing w:line="240" w:lineRule="auto"/>
              <w:ind w:firstLine="0" w:firstLineChars="0"/>
              <w:jc w:val="center"/>
              <w:rPr>
                <w:rFonts w:eastAsia="黑体" w:cs="Times New Roman"/>
                <w:sz w:val="21"/>
                <w:szCs w:val="21"/>
              </w:rPr>
            </w:pPr>
            <w:r>
              <w:rPr>
                <w:rFonts w:eastAsia="黑体" w:cs="Times New Roman"/>
                <w:sz w:val="21"/>
                <w:szCs w:val="21"/>
              </w:rPr>
              <w:t>窑圪台乡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vAlign w:val="center"/>
          </w:tcPr>
          <w:p>
            <w:pPr>
              <w:widowControl/>
              <w:spacing w:line="240" w:lineRule="auto"/>
              <w:ind w:firstLine="0" w:firstLineChars="0"/>
              <w:jc w:val="center"/>
              <w:rPr>
                <w:rFonts w:cs="Times New Roman"/>
                <w:sz w:val="21"/>
                <w:szCs w:val="21"/>
              </w:rPr>
            </w:pPr>
            <w:r>
              <w:rPr>
                <w:rFonts w:eastAsia="黑体" w:cs="Times New Roman"/>
                <w:kern w:val="0"/>
                <w:sz w:val="21"/>
                <w:szCs w:val="21"/>
              </w:rPr>
              <w:t>村庄</w:t>
            </w:r>
          </w:p>
        </w:tc>
        <w:tc>
          <w:tcPr>
            <w:tcW w:w="823" w:type="pc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w:t>
            </w:r>
          </w:p>
          <w:p>
            <w:pPr>
              <w:widowControl/>
              <w:spacing w:line="240" w:lineRule="auto"/>
              <w:ind w:firstLine="0" w:firstLineChars="0"/>
              <w:jc w:val="center"/>
              <w:rPr>
                <w:rFonts w:cs="Times New Roman"/>
                <w:sz w:val="21"/>
                <w:szCs w:val="21"/>
              </w:rPr>
            </w:pPr>
            <w:r>
              <w:rPr>
                <w:rFonts w:eastAsia="黑体" w:cs="Times New Roman"/>
                <w:kern w:val="0"/>
                <w:sz w:val="21"/>
                <w:szCs w:val="21"/>
              </w:rPr>
              <w:t>（m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noWrap/>
            <w:vAlign w:val="center"/>
          </w:tcPr>
          <w:p>
            <w:pPr>
              <w:widowControl/>
              <w:spacing w:line="240" w:lineRule="auto"/>
              <w:ind w:firstLine="0" w:firstLineChars="0"/>
              <w:jc w:val="center"/>
              <w:rPr>
                <w:rFonts w:cs="Times New Roman"/>
                <w:sz w:val="21"/>
                <w:szCs w:val="21"/>
              </w:rPr>
            </w:pPr>
            <w:r>
              <w:rPr>
                <w:rFonts w:eastAsia="黑体" w:cs="Times New Roman"/>
                <w:kern w:val="0"/>
                <w:sz w:val="21"/>
                <w:szCs w:val="21"/>
              </w:rPr>
              <w:t>村庄</w:t>
            </w:r>
          </w:p>
        </w:tc>
        <w:tc>
          <w:tcPr>
            <w:tcW w:w="823" w:type="pc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w:t>
            </w:r>
          </w:p>
          <w:p>
            <w:pPr>
              <w:widowControl/>
              <w:spacing w:line="240" w:lineRule="auto"/>
              <w:ind w:firstLine="0" w:firstLineChars="0"/>
              <w:jc w:val="center"/>
              <w:rPr>
                <w:rFonts w:cs="Times New Roman"/>
                <w:sz w:val="21"/>
                <w:szCs w:val="21"/>
              </w:rPr>
            </w:pPr>
            <w:r>
              <w:rPr>
                <w:rFonts w:eastAsia="黑体" w:cs="Times New Roman"/>
                <w:kern w:val="0"/>
                <w:sz w:val="21"/>
                <w:szCs w:val="21"/>
              </w:rPr>
              <w:t>（m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noWrap/>
            <w:vAlign w:val="center"/>
          </w:tcPr>
          <w:p>
            <w:pPr>
              <w:widowControl/>
              <w:spacing w:line="240" w:lineRule="auto"/>
              <w:ind w:firstLine="0" w:firstLineChars="0"/>
              <w:jc w:val="center"/>
              <w:rPr>
                <w:rFonts w:cs="Times New Roman"/>
                <w:sz w:val="21"/>
                <w:szCs w:val="21"/>
              </w:rPr>
            </w:pPr>
            <w:r>
              <w:rPr>
                <w:rFonts w:eastAsia="黑体" w:cs="Times New Roman"/>
                <w:kern w:val="0"/>
                <w:sz w:val="21"/>
                <w:szCs w:val="21"/>
              </w:rPr>
              <w:t>村庄</w:t>
            </w:r>
          </w:p>
        </w:tc>
        <w:tc>
          <w:tcPr>
            <w:tcW w:w="825" w:type="pc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w:t>
            </w:r>
          </w:p>
          <w:p>
            <w:pPr>
              <w:widowControl/>
              <w:spacing w:line="240" w:lineRule="auto"/>
              <w:ind w:firstLine="0" w:firstLineChars="0"/>
              <w:jc w:val="center"/>
              <w:rPr>
                <w:rFonts w:cs="Times New Roman"/>
                <w:sz w:val="21"/>
                <w:szCs w:val="21"/>
              </w:rPr>
            </w:pPr>
            <w:r>
              <w:rPr>
                <w:rFonts w:eastAsia="黑体" w:cs="Times New Roman"/>
                <w:kern w:val="0"/>
                <w:sz w:val="21"/>
                <w:szCs w:val="21"/>
              </w:rPr>
              <w:t>（m</w:t>
            </w:r>
            <w:r>
              <w:rPr>
                <w:rFonts w:eastAsia="黑体" w:cs="Times New Roman"/>
                <w:kern w:val="0"/>
                <w:sz w:val="21"/>
                <w:szCs w:val="21"/>
                <w:vertAlign w:val="superscript"/>
              </w:rPr>
              <w:t>3</w:t>
            </w:r>
            <w:r>
              <w:rPr>
                <w:rFonts w:eastAsia="黑体" w:cs="Times New Roman"/>
                <w:kern w:val="0"/>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五楼沟村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1.3</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吾吉耳村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0.7</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孙家山村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闫家坪村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1.5</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丛岭沟村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1.8</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红花塔村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窑圪台村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1.1</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银子塔村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0.84</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张家窑洼村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郝沟坪村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0.9</w:t>
            </w:r>
          </w:p>
        </w:tc>
        <w:tc>
          <w:tcPr>
            <w:tcW w:w="853" w:type="pct"/>
            <w:shd w:val="clear" w:color="auto" w:fill="auto"/>
            <w:noWrap/>
          </w:tcPr>
          <w:p>
            <w:pPr>
              <w:widowControl/>
              <w:spacing w:line="240" w:lineRule="auto"/>
              <w:ind w:firstLine="0" w:firstLineChars="0"/>
              <w:jc w:val="center"/>
              <w:rPr>
                <w:rFonts w:cs="Times New Roman"/>
                <w:sz w:val="21"/>
                <w:szCs w:val="21"/>
              </w:rPr>
            </w:pPr>
          </w:p>
        </w:tc>
        <w:tc>
          <w:tcPr>
            <w:tcW w:w="823" w:type="pct"/>
            <w:shd w:val="clear" w:color="auto" w:fill="auto"/>
            <w:noWrap/>
          </w:tcPr>
          <w:p>
            <w:pPr>
              <w:widowControl/>
              <w:spacing w:line="240" w:lineRule="auto"/>
              <w:ind w:firstLine="0" w:firstLineChars="0"/>
              <w:jc w:val="center"/>
              <w:rPr>
                <w:rFonts w:cs="Times New Roman"/>
                <w:sz w:val="21"/>
                <w:szCs w:val="21"/>
              </w:rPr>
            </w:pPr>
          </w:p>
        </w:tc>
        <w:tc>
          <w:tcPr>
            <w:tcW w:w="853" w:type="pct"/>
            <w:shd w:val="clear" w:color="auto" w:fill="auto"/>
            <w:noWrap/>
          </w:tcPr>
          <w:p>
            <w:pPr>
              <w:widowControl/>
              <w:spacing w:line="240" w:lineRule="auto"/>
              <w:ind w:firstLine="0" w:firstLineChars="0"/>
              <w:jc w:val="center"/>
              <w:rPr>
                <w:rFonts w:cs="Times New Roman"/>
                <w:sz w:val="21"/>
                <w:szCs w:val="21"/>
              </w:rPr>
            </w:pPr>
          </w:p>
        </w:tc>
        <w:tc>
          <w:tcPr>
            <w:tcW w:w="825" w:type="pct"/>
            <w:shd w:val="clear" w:color="auto" w:fill="auto"/>
            <w:noWrap/>
          </w:tcPr>
          <w:p>
            <w:pPr>
              <w:widowControl/>
              <w:spacing w:line="240" w:lineRule="auto"/>
              <w:ind w:firstLine="0" w:firstLineChars="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gridSpan w:val="6"/>
            <w:shd w:val="clear" w:color="auto" w:fill="auto"/>
            <w:noWrap/>
            <w:vAlign w:val="center"/>
          </w:tcPr>
          <w:p>
            <w:pPr>
              <w:widowControl/>
              <w:spacing w:line="240" w:lineRule="auto"/>
              <w:ind w:firstLine="0" w:firstLineChars="0"/>
              <w:jc w:val="center"/>
              <w:rPr>
                <w:rFonts w:eastAsia="黑体" w:cs="Times New Roman"/>
                <w:sz w:val="21"/>
                <w:szCs w:val="21"/>
              </w:rPr>
            </w:pPr>
            <w:r>
              <w:rPr>
                <w:rFonts w:eastAsia="黑体" w:cs="Times New Roman"/>
                <w:sz w:val="21"/>
                <w:szCs w:val="21"/>
              </w:rPr>
              <w:t>韩家川乡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vAlign w:val="center"/>
          </w:tcPr>
          <w:p>
            <w:pPr>
              <w:widowControl/>
              <w:spacing w:line="240" w:lineRule="auto"/>
              <w:ind w:firstLine="0" w:firstLineChars="0"/>
              <w:jc w:val="center"/>
              <w:rPr>
                <w:rFonts w:cs="Times New Roman"/>
                <w:sz w:val="21"/>
                <w:szCs w:val="21"/>
              </w:rPr>
            </w:pPr>
            <w:r>
              <w:rPr>
                <w:rFonts w:eastAsia="黑体" w:cs="Times New Roman"/>
                <w:kern w:val="0"/>
                <w:sz w:val="21"/>
                <w:szCs w:val="21"/>
              </w:rPr>
              <w:t>村庄</w:t>
            </w:r>
          </w:p>
        </w:tc>
        <w:tc>
          <w:tcPr>
            <w:tcW w:w="823" w:type="pc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w:t>
            </w:r>
          </w:p>
          <w:p>
            <w:pPr>
              <w:widowControl/>
              <w:spacing w:line="240" w:lineRule="auto"/>
              <w:ind w:firstLine="0" w:firstLineChars="0"/>
              <w:jc w:val="center"/>
              <w:rPr>
                <w:rFonts w:cs="Times New Roman"/>
                <w:sz w:val="21"/>
                <w:szCs w:val="21"/>
              </w:rPr>
            </w:pPr>
            <w:r>
              <w:rPr>
                <w:rFonts w:eastAsia="黑体" w:cs="Times New Roman"/>
                <w:kern w:val="0"/>
                <w:sz w:val="21"/>
                <w:szCs w:val="21"/>
              </w:rPr>
              <w:t>（m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noWrap/>
            <w:vAlign w:val="center"/>
          </w:tcPr>
          <w:p>
            <w:pPr>
              <w:widowControl/>
              <w:spacing w:line="240" w:lineRule="auto"/>
              <w:ind w:firstLine="0" w:firstLineChars="0"/>
              <w:jc w:val="center"/>
              <w:rPr>
                <w:rFonts w:cs="Times New Roman"/>
                <w:sz w:val="21"/>
                <w:szCs w:val="21"/>
              </w:rPr>
            </w:pPr>
            <w:r>
              <w:rPr>
                <w:rFonts w:eastAsia="黑体" w:cs="Times New Roman"/>
                <w:kern w:val="0"/>
                <w:sz w:val="21"/>
                <w:szCs w:val="21"/>
              </w:rPr>
              <w:t>村庄</w:t>
            </w:r>
          </w:p>
        </w:tc>
        <w:tc>
          <w:tcPr>
            <w:tcW w:w="823" w:type="pc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w:t>
            </w:r>
          </w:p>
          <w:p>
            <w:pPr>
              <w:widowControl/>
              <w:spacing w:line="240" w:lineRule="auto"/>
              <w:ind w:firstLine="0" w:firstLineChars="0"/>
              <w:jc w:val="center"/>
              <w:rPr>
                <w:rFonts w:cs="Times New Roman"/>
                <w:sz w:val="21"/>
                <w:szCs w:val="21"/>
              </w:rPr>
            </w:pPr>
            <w:r>
              <w:rPr>
                <w:rFonts w:eastAsia="黑体" w:cs="Times New Roman"/>
                <w:kern w:val="0"/>
                <w:sz w:val="21"/>
                <w:szCs w:val="21"/>
              </w:rPr>
              <w:t>（m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noWrap/>
            <w:vAlign w:val="center"/>
          </w:tcPr>
          <w:p>
            <w:pPr>
              <w:widowControl/>
              <w:spacing w:line="240" w:lineRule="auto"/>
              <w:ind w:firstLine="0" w:firstLineChars="0"/>
              <w:jc w:val="center"/>
              <w:rPr>
                <w:rFonts w:cs="Times New Roman"/>
                <w:sz w:val="21"/>
                <w:szCs w:val="21"/>
              </w:rPr>
            </w:pPr>
            <w:r>
              <w:rPr>
                <w:rFonts w:eastAsia="黑体" w:cs="Times New Roman"/>
                <w:kern w:val="0"/>
                <w:sz w:val="21"/>
                <w:szCs w:val="21"/>
              </w:rPr>
              <w:t>村庄</w:t>
            </w:r>
          </w:p>
        </w:tc>
        <w:tc>
          <w:tcPr>
            <w:tcW w:w="825" w:type="pc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w:t>
            </w:r>
          </w:p>
          <w:p>
            <w:pPr>
              <w:widowControl/>
              <w:spacing w:line="240" w:lineRule="auto"/>
              <w:ind w:firstLine="0" w:firstLineChars="0"/>
              <w:jc w:val="center"/>
              <w:rPr>
                <w:rFonts w:cs="Times New Roman"/>
                <w:sz w:val="21"/>
                <w:szCs w:val="21"/>
              </w:rPr>
            </w:pPr>
            <w:r>
              <w:rPr>
                <w:rFonts w:eastAsia="黑体" w:cs="Times New Roman"/>
                <w:kern w:val="0"/>
                <w:sz w:val="21"/>
                <w:szCs w:val="21"/>
              </w:rPr>
              <w:t>（m</w:t>
            </w:r>
            <w:r>
              <w:rPr>
                <w:rFonts w:eastAsia="黑体" w:cs="Times New Roman"/>
                <w:kern w:val="0"/>
                <w:sz w:val="21"/>
                <w:szCs w:val="21"/>
                <w:vertAlign w:val="superscript"/>
              </w:rPr>
              <w:t>3</w:t>
            </w:r>
            <w:r>
              <w:rPr>
                <w:rFonts w:eastAsia="黑体" w:cs="Times New Roman"/>
                <w:kern w:val="0"/>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韩家川村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4</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豆塔村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0.33</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寨沟村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柴</w:t>
            </w:r>
            <w:r>
              <w:rPr>
                <w:rFonts w:hint="eastAsia" w:cs="Times New Roman"/>
                <w:sz w:val="21"/>
                <w:szCs w:val="21"/>
                <w:lang w:eastAsia="zh-CN"/>
              </w:rPr>
              <w:t>家</w:t>
            </w:r>
            <w:r>
              <w:rPr>
                <w:rFonts w:cs="Times New Roman"/>
                <w:sz w:val="21"/>
                <w:szCs w:val="21"/>
              </w:rPr>
              <w:t>湾村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0.72</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赵家庄村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1.5</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沙坪村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猯窝村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0.45</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官局村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0.72</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桑元塔村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下塔村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1.2</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墕头村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0.81</w:t>
            </w:r>
          </w:p>
        </w:tc>
        <w:tc>
          <w:tcPr>
            <w:tcW w:w="853" w:type="pct"/>
            <w:shd w:val="clear" w:color="auto" w:fill="auto"/>
            <w:noWrap/>
          </w:tcPr>
          <w:p>
            <w:pPr>
              <w:widowControl/>
              <w:spacing w:line="240" w:lineRule="auto"/>
              <w:ind w:firstLine="0" w:firstLineChars="0"/>
              <w:jc w:val="center"/>
              <w:rPr>
                <w:rFonts w:cs="Times New Roman"/>
                <w:sz w:val="21"/>
                <w:szCs w:val="21"/>
              </w:rPr>
            </w:pPr>
          </w:p>
        </w:tc>
        <w:tc>
          <w:tcPr>
            <w:tcW w:w="825" w:type="pct"/>
            <w:shd w:val="clear" w:color="auto" w:fill="auto"/>
            <w:noWrap/>
          </w:tcPr>
          <w:p>
            <w:pPr>
              <w:widowControl/>
              <w:spacing w:line="240" w:lineRule="auto"/>
              <w:ind w:firstLine="0" w:firstLineChars="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gridSpan w:val="6"/>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窑洼乡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5"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大塔铺村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1.2</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曹虎村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0.84</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首沟村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窑洼村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2.97</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庙沟</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0.56</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道座山村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官地坪村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1.2</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王家庄</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0.78</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科局村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gridSpan w:val="6"/>
            <w:shd w:val="clear" w:color="auto" w:fill="auto"/>
            <w:noWrap/>
            <w:vAlign w:val="center"/>
          </w:tcPr>
          <w:p>
            <w:pPr>
              <w:widowControl/>
              <w:spacing w:line="240" w:lineRule="auto"/>
              <w:ind w:firstLine="0" w:firstLineChars="0"/>
              <w:jc w:val="center"/>
              <w:rPr>
                <w:rFonts w:eastAsia="黑体" w:cs="Times New Roman"/>
                <w:sz w:val="21"/>
                <w:szCs w:val="21"/>
              </w:rPr>
            </w:pPr>
            <w:r>
              <w:rPr>
                <w:rFonts w:eastAsia="黑体" w:cs="Times New Roman"/>
                <w:sz w:val="21"/>
                <w:szCs w:val="21"/>
              </w:rPr>
              <w:t>孙家沟乡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vAlign w:val="center"/>
          </w:tcPr>
          <w:p>
            <w:pPr>
              <w:widowControl/>
              <w:spacing w:line="240" w:lineRule="auto"/>
              <w:ind w:firstLine="0" w:firstLineChars="0"/>
              <w:jc w:val="center"/>
              <w:rPr>
                <w:rFonts w:cs="Times New Roman"/>
                <w:sz w:val="21"/>
                <w:szCs w:val="21"/>
              </w:rPr>
            </w:pPr>
            <w:r>
              <w:rPr>
                <w:rFonts w:eastAsia="黑体" w:cs="Times New Roman"/>
                <w:kern w:val="0"/>
                <w:sz w:val="21"/>
                <w:szCs w:val="21"/>
              </w:rPr>
              <w:t>村庄</w:t>
            </w:r>
          </w:p>
        </w:tc>
        <w:tc>
          <w:tcPr>
            <w:tcW w:w="823" w:type="pc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w:t>
            </w:r>
          </w:p>
          <w:p>
            <w:pPr>
              <w:widowControl/>
              <w:spacing w:line="240" w:lineRule="auto"/>
              <w:ind w:firstLine="0" w:firstLineChars="0"/>
              <w:jc w:val="center"/>
              <w:rPr>
                <w:rFonts w:cs="Times New Roman"/>
                <w:sz w:val="21"/>
                <w:szCs w:val="21"/>
              </w:rPr>
            </w:pPr>
            <w:r>
              <w:rPr>
                <w:rFonts w:eastAsia="黑体" w:cs="Times New Roman"/>
                <w:kern w:val="0"/>
                <w:sz w:val="21"/>
                <w:szCs w:val="21"/>
              </w:rPr>
              <w:t>（m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noWrap/>
            <w:vAlign w:val="center"/>
          </w:tcPr>
          <w:p>
            <w:pPr>
              <w:widowControl/>
              <w:spacing w:line="240" w:lineRule="auto"/>
              <w:ind w:firstLine="0" w:firstLineChars="0"/>
              <w:jc w:val="center"/>
              <w:rPr>
                <w:rFonts w:cs="Times New Roman"/>
                <w:sz w:val="21"/>
                <w:szCs w:val="21"/>
              </w:rPr>
            </w:pPr>
            <w:r>
              <w:rPr>
                <w:rFonts w:eastAsia="黑体" w:cs="Times New Roman"/>
                <w:kern w:val="0"/>
                <w:sz w:val="21"/>
                <w:szCs w:val="21"/>
              </w:rPr>
              <w:t>村庄</w:t>
            </w:r>
          </w:p>
        </w:tc>
        <w:tc>
          <w:tcPr>
            <w:tcW w:w="823" w:type="pc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w:t>
            </w:r>
          </w:p>
          <w:p>
            <w:pPr>
              <w:widowControl/>
              <w:spacing w:line="240" w:lineRule="auto"/>
              <w:ind w:firstLine="0" w:firstLineChars="0"/>
              <w:jc w:val="center"/>
              <w:rPr>
                <w:rFonts w:cs="Times New Roman"/>
                <w:sz w:val="21"/>
                <w:szCs w:val="21"/>
              </w:rPr>
            </w:pPr>
            <w:r>
              <w:rPr>
                <w:rFonts w:eastAsia="黑体" w:cs="Times New Roman"/>
                <w:kern w:val="0"/>
                <w:sz w:val="21"/>
                <w:szCs w:val="21"/>
              </w:rPr>
              <w:t>（m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noWrap/>
            <w:vAlign w:val="center"/>
          </w:tcPr>
          <w:p>
            <w:pPr>
              <w:widowControl/>
              <w:spacing w:line="240" w:lineRule="auto"/>
              <w:ind w:firstLine="0" w:firstLineChars="0"/>
              <w:jc w:val="center"/>
              <w:rPr>
                <w:rFonts w:cs="Times New Roman"/>
                <w:sz w:val="21"/>
                <w:szCs w:val="21"/>
              </w:rPr>
            </w:pPr>
            <w:r>
              <w:rPr>
                <w:rFonts w:eastAsia="黑体" w:cs="Times New Roman"/>
                <w:kern w:val="0"/>
                <w:sz w:val="21"/>
                <w:szCs w:val="21"/>
              </w:rPr>
              <w:t>村庄</w:t>
            </w:r>
          </w:p>
        </w:tc>
        <w:tc>
          <w:tcPr>
            <w:tcW w:w="825" w:type="pc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w:t>
            </w:r>
          </w:p>
          <w:p>
            <w:pPr>
              <w:widowControl/>
              <w:spacing w:line="240" w:lineRule="auto"/>
              <w:ind w:firstLine="0" w:firstLineChars="0"/>
              <w:jc w:val="center"/>
              <w:rPr>
                <w:rFonts w:cs="Times New Roman"/>
                <w:sz w:val="21"/>
                <w:szCs w:val="21"/>
              </w:rPr>
            </w:pPr>
            <w:r>
              <w:rPr>
                <w:rFonts w:eastAsia="黑体" w:cs="Times New Roman"/>
                <w:kern w:val="0"/>
                <w:sz w:val="21"/>
                <w:szCs w:val="21"/>
              </w:rPr>
              <w:t>（m</w:t>
            </w:r>
            <w:r>
              <w:rPr>
                <w:rFonts w:eastAsia="黑体" w:cs="Times New Roman"/>
                <w:kern w:val="0"/>
                <w:sz w:val="21"/>
                <w:szCs w:val="21"/>
                <w:vertAlign w:val="superscript"/>
              </w:rPr>
              <w:t>3</w:t>
            </w:r>
            <w:r>
              <w:rPr>
                <w:rFonts w:eastAsia="黑体" w:cs="Times New Roman"/>
                <w:kern w:val="0"/>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秦家寨村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1.4</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袁家庄村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1.2</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桑</w:t>
            </w:r>
            <w:r>
              <w:rPr>
                <w:rFonts w:hint="eastAsia" w:cs="Times New Roman"/>
                <w:sz w:val="21"/>
                <w:szCs w:val="21"/>
                <w:lang w:eastAsia="zh-CN"/>
              </w:rPr>
              <w:t>林</w:t>
            </w:r>
            <w:r>
              <w:rPr>
                <w:rFonts w:cs="Times New Roman"/>
                <w:sz w:val="21"/>
                <w:szCs w:val="21"/>
              </w:rPr>
              <w:t>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0.954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付家圪台村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1.5</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苇树局村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0.72</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郝家塔村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新畦村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1.2</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羊路河村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1.7</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木瓜耳村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化树塔村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1.05</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牧塔村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8</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北山村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郭家辿村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0.42</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孙家沟村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1.8</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沟底塔村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土门村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0.6</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王偏梁村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杜家塔村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张家沟村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1.5</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青草沟村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0.8</w:t>
            </w:r>
          </w:p>
        </w:tc>
        <w:tc>
          <w:tcPr>
            <w:tcW w:w="853" w:type="pct"/>
            <w:shd w:val="clear" w:color="auto" w:fill="auto"/>
            <w:noWrap/>
          </w:tcPr>
          <w:p>
            <w:pPr>
              <w:widowControl/>
              <w:spacing w:line="240" w:lineRule="auto"/>
              <w:ind w:firstLine="0" w:firstLineChars="0"/>
              <w:jc w:val="center"/>
              <w:rPr>
                <w:rFonts w:cs="Times New Roman"/>
                <w:sz w:val="21"/>
                <w:szCs w:val="21"/>
              </w:rPr>
            </w:pPr>
          </w:p>
        </w:tc>
        <w:tc>
          <w:tcPr>
            <w:tcW w:w="825" w:type="pct"/>
            <w:shd w:val="clear" w:color="auto" w:fill="auto"/>
            <w:noWrap/>
          </w:tcPr>
          <w:p>
            <w:pPr>
              <w:widowControl/>
              <w:spacing w:line="240" w:lineRule="auto"/>
              <w:ind w:firstLine="0" w:firstLineChars="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gridSpan w:val="6"/>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林遮峪乡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5"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刘家塔村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0.3</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苇耳梁村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0.36</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郝家庄村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后村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1.9</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下川坪村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3.3</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元家山村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霍家塔</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0.3</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南里村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2.1</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杜家峁村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林遮峪村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0.6</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沙里</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0.6</w:t>
            </w:r>
          </w:p>
        </w:tc>
        <w:tc>
          <w:tcPr>
            <w:tcW w:w="853" w:type="pct"/>
            <w:shd w:val="clear" w:color="auto" w:fill="auto"/>
            <w:noWrap/>
          </w:tcPr>
          <w:p>
            <w:pPr>
              <w:widowControl/>
              <w:spacing w:line="240" w:lineRule="auto"/>
              <w:ind w:firstLine="0" w:firstLineChars="0"/>
              <w:jc w:val="center"/>
              <w:rPr>
                <w:rFonts w:cs="Times New Roman"/>
                <w:sz w:val="21"/>
                <w:szCs w:val="21"/>
              </w:rPr>
            </w:pPr>
          </w:p>
        </w:tc>
        <w:tc>
          <w:tcPr>
            <w:tcW w:w="825" w:type="pct"/>
            <w:shd w:val="clear" w:color="auto" w:fill="auto"/>
            <w:noWrap/>
          </w:tcPr>
          <w:p>
            <w:pPr>
              <w:widowControl/>
              <w:spacing w:line="240" w:lineRule="auto"/>
              <w:ind w:firstLine="0" w:firstLineChars="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gridSpan w:val="6"/>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南河沟乡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5"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杏岭</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0.3</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偏桥</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0.12</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寨墕</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刘家焉</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1.04</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姚家焉</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0.2</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杨家沟</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中焉</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0.3</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李家湾</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0.36</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东庄墕村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丁家塔</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0.2</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白家沟</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0.2</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秦家河村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尚家塔</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0.3</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韩家塔</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2</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韩家焉村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0.171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石桥塔村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0.4</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大塔村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0.7</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雷家峁村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禅房</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0.4</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扒楼沟</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4.5</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舍尔塔</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四井头</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0.4</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刘家坡</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2.4</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营村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吉利坪</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0.25</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南河沟</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7.5</w:t>
            </w:r>
          </w:p>
        </w:tc>
        <w:tc>
          <w:tcPr>
            <w:tcW w:w="853" w:type="pct"/>
            <w:shd w:val="clear" w:color="auto" w:fill="auto"/>
            <w:noWrap/>
          </w:tcPr>
          <w:p>
            <w:pPr>
              <w:widowControl/>
              <w:spacing w:line="240" w:lineRule="auto"/>
              <w:ind w:firstLine="0" w:firstLineChars="0"/>
              <w:jc w:val="center"/>
              <w:rPr>
                <w:rFonts w:cs="Times New Roman"/>
                <w:sz w:val="21"/>
                <w:szCs w:val="21"/>
              </w:rPr>
            </w:pPr>
          </w:p>
        </w:tc>
        <w:tc>
          <w:tcPr>
            <w:tcW w:w="825" w:type="pct"/>
            <w:shd w:val="clear" w:color="auto" w:fill="auto"/>
            <w:noWrap/>
          </w:tcPr>
          <w:p>
            <w:pPr>
              <w:widowControl/>
              <w:spacing w:line="240" w:lineRule="auto"/>
              <w:ind w:firstLine="0" w:firstLineChars="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gridSpan w:val="6"/>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冯家川乡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trPr>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vAlign w:val="center"/>
          </w:tcPr>
          <w:p>
            <w:pPr>
              <w:spacing w:line="240" w:lineRule="auto"/>
              <w:ind w:firstLine="420"/>
              <w:rPr>
                <w:rFonts w:eastAsia="黑体" w:cs="Times New Roman"/>
                <w:kern w:val="0"/>
                <w:sz w:val="21"/>
                <w:szCs w:val="21"/>
              </w:rPr>
            </w:pPr>
            <w:r>
              <w:rPr>
                <w:rFonts w:eastAsia="黑体" w:cs="Times New Roman"/>
                <w:kern w:val="0"/>
                <w:sz w:val="21"/>
                <w:szCs w:val="21"/>
              </w:rPr>
              <w:t>村庄</w:t>
            </w:r>
          </w:p>
        </w:tc>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vAlign w:val="center"/>
          </w:tcPr>
          <w:p>
            <w:pPr>
              <w:spacing w:line="240" w:lineRule="auto"/>
              <w:ind w:firstLine="420"/>
              <w:rPr>
                <w:rFonts w:eastAsia="黑体" w:cs="Times New Roman"/>
                <w:kern w:val="0"/>
                <w:sz w:val="21"/>
                <w:szCs w:val="21"/>
              </w:rPr>
            </w:pPr>
            <w:r>
              <w:rPr>
                <w:rFonts w:eastAsia="黑体" w:cs="Times New Roman"/>
                <w:kern w:val="0"/>
                <w:sz w:val="21"/>
                <w:szCs w:val="21"/>
              </w:rPr>
              <w:t>村庄</w:t>
            </w:r>
          </w:p>
        </w:tc>
        <w:tc>
          <w:tcPr>
            <w:tcW w:w="825"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神山村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7.5</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武家沟村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1.5</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翟家塔村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后川村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4.575</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沙坪</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0.325</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冯家川村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王家辿村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0.6</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龙驼沟村</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3.6</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孙家里村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gridSpan w:val="6"/>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土崖塔乡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c>
          <w:tcPr>
            <w:tcW w:w="853"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825"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生活污水量（m</w:t>
            </w:r>
            <w:r>
              <w:rPr>
                <w:rFonts w:eastAsia="黑体" w:cs="Times New Roman"/>
                <w:kern w:val="0"/>
                <w:sz w:val="21"/>
                <w:szCs w:val="21"/>
                <w:vertAlign w:val="superscript"/>
              </w:rPr>
              <w:t>3</w:t>
            </w:r>
            <w:r>
              <w:rPr>
                <w:rFonts w:eastAsia="黑体" w:cs="Times New Roman"/>
                <w:kern w:val="0"/>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神树梁</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0.25</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安家山</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0.6</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依杏塔村</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乔家塔</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1.4</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西山头</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0.18</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寨上</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王家坡</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0.13</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西梁</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党家里</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姜家庄</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0.75</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路家局</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0.6</w:t>
            </w:r>
          </w:p>
        </w:tc>
        <w:tc>
          <w:tcPr>
            <w:tcW w:w="85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武家塔</w:t>
            </w:r>
          </w:p>
        </w:tc>
        <w:tc>
          <w:tcPr>
            <w:tcW w:w="825"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23" w:type="pct"/>
            <w:shd w:val="clear" w:color="auto" w:fill="auto"/>
            <w:noWrap/>
          </w:tcPr>
          <w:p>
            <w:pPr>
              <w:widowControl/>
              <w:tabs>
                <w:tab w:val="left" w:pos="1073"/>
              </w:tabs>
              <w:spacing w:line="240" w:lineRule="auto"/>
              <w:ind w:firstLine="0" w:firstLineChars="0"/>
              <w:jc w:val="center"/>
              <w:rPr>
                <w:rFonts w:cs="Times New Roman"/>
                <w:sz w:val="21"/>
                <w:szCs w:val="21"/>
              </w:rPr>
            </w:pPr>
            <w:r>
              <w:rPr>
                <w:rFonts w:cs="Times New Roman"/>
                <w:sz w:val="21"/>
                <w:szCs w:val="21"/>
              </w:rPr>
              <w:t>土崖塔</w:t>
            </w:r>
          </w:p>
        </w:tc>
        <w:tc>
          <w:tcPr>
            <w:tcW w:w="823" w:type="pct"/>
            <w:shd w:val="clear" w:color="auto" w:fill="auto"/>
            <w:noWrap/>
          </w:tcPr>
          <w:p>
            <w:pPr>
              <w:widowControl/>
              <w:spacing w:line="240" w:lineRule="auto"/>
              <w:ind w:firstLine="0" w:firstLineChars="0"/>
              <w:jc w:val="center"/>
              <w:rPr>
                <w:rFonts w:cs="Times New Roman"/>
                <w:sz w:val="21"/>
                <w:szCs w:val="21"/>
              </w:rPr>
            </w:pPr>
            <w:r>
              <w:rPr>
                <w:rFonts w:cs="Times New Roman"/>
                <w:sz w:val="21"/>
                <w:szCs w:val="21"/>
              </w:rPr>
              <w:t>0.35</w:t>
            </w:r>
          </w:p>
        </w:tc>
        <w:tc>
          <w:tcPr>
            <w:tcW w:w="853" w:type="pct"/>
            <w:shd w:val="clear" w:color="auto" w:fill="auto"/>
            <w:noWrap/>
          </w:tcPr>
          <w:p>
            <w:pPr>
              <w:widowControl/>
              <w:spacing w:line="240" w:lineRule="auto"/>
              <w:ind w:firstLine="0" w:firstLineChars="0"/>
              <w:jc w:val="center"/>
              <w:rPr>
                <w:rFonts w:cs="Times New Roman"/>
                <w:sz w:val="21"/>
                <w:szCs w:val="21"/>
              </w:rPr>
            </w:pPr>
          </w:p>
        </w:tc>
        <w:tc>
          <w:tcPr>
            <w:tcW w:w="823" w:type="pct"/>
            <w:shd w:val="clear" w:color="auto" w:fill="auto"/>
            <w:noWrap/>
          </w:tcPr>
          <w:p>
            <w:pPr>
              <w:widowControl/>
              <w:spacing w:line="240" w:lineRule="auto"/>
              <w:ind w:firstLine="0" w:firstLineChars="0"/>
              <w:jc w:val="center"/>
              <w:rPr>
                <w:rFonts w:cs="Times New Roman"/>
                <w:sz w:val="21"/>
                <w:szCs w:val="21"/>
              </w:rPr>
            </w:pPr>
          </w:p>
        </w:tc>
        <w:tc>
          <w:tcPr>
            <w:tcW w:w="853" w:type="pct"/>
            <w:shd w:val="clear" w:color="auto" w:fill="auto"/>
            <w:noWrap/>
          </w:tcPr>
          <w:p>
            <w:pPr>
              <w:widowControl/>
              <w:spacing w:line="240" w:lineRule="auto"/>
              <w:ind w:firstLine="0" w:firstLineChars="0"/>
              <w:jc w:val="center"/>
              <w:rPr>
                <w:rFonts w:cs="Times New Roman"/>
                <w:sz w:val="21"/>
                <w:szCs w:val="21"/>
              </w:rPr>
            </w:pPr>
          </w:p>
        </w:tc>
        <w:tc>
          <w:tcPr>
            <w:tcW w:w="825" w:type="pct"/>
            <w:shd w:val="clear" w:color="auto" w:fill="auto"/>
            <w:noWrap/>
          </w:tcPr>
          <w:p>
            <w:pPr>
              <w:widowControl/>
              <w:spacing w:line="240" w:lineRule="auto"/>
              <w:ind w:firstLine="0" w:firstLineChars="0"/>
              <w:jc w:val="center"/>
              <w:rPr>
                <w:rFonts w:cs="Times New Roman"/>
                <w:sz w:val="21"/>
                <w:szCs w:val="21"/>
              </w:rPr>
            </w:pPr>
          </w:p>
        </w:tc>
      </w:tr>
    </w:tbl>
    <w:p>
      <w:pPr>
        <w:pStyle w:val="8"/>
        <w:rPr>
          <w:rFonts w:ascii="Times New Roman" w:hAnsi="Times New Roman" w:cs="Times New Roman"/>
        </w:rPr>
      </w:pPr>
      <w:r>
        <w:rPr>
          <w:rFonts w:ascii="Times New Roman" w:hAnsi="Times New Roman" w:cs="Times New Roman"/>
        </w:rPr>
        <w:t>3.2.2 污水水质</w:t>
      </w:r>
    </w:p>
    <w:p>
      <w:pPr>
        <w:ind w:firstLine="480"/>
        <w:rPr>
          <w:rFonts w:cs="Times New Roman"/>
        </w:rPr>
      </w:pPr>
      <w:r>
        <w:rPr>
          <w:rFonts w:cs="Times New Roman"/>
        </w:rPr>
        <w:t>保德县农村生活污水主要来自厨房水、洗浴水、洗涤水和冲厕水四类，污水水质受生活习惯与生活条件影响，一般不含重金属等有毒有害物质，以无毒的无机盐类居多。根据调研，有水冲厕的下麻黄村和另山村的生活污水包括黑水和灰水，其余村庄无水冲厕改造计划，或以卫生厕所改造为主，生活污水以灰水为主，其中灰水的化学需氧量含量介于200～350 mg/L，氨氮介于10～40 mg/L，悬浮物介于50～200 mg/L，黑水的化学需氧量含量介于300～600 mg/L，氨氮介于60～120 mg/L，悬浮物介于200～1600 mg/L。</w:t>
      </w:r>
    </w:p>
    <w:bookmarkEnd w:id="32"/>
    <w:p>
      <w:pPr>
        <w:pStyle w:val="5"/>
      </w:pPr>
      <w:bookmarkStart w:id="34" w:name="_Toc43848811"/>
      <w:r>
        <w:t>4 治理村庄</w:t>
      </w:r>
      <w:bookmarkEnd w:id="34"/>
    </w:p>
    <w:p>
      <w:pPr>
        <w:ind w:firstLine="480"/>
        <w:rPr>
          <w:rFonts w:cs="Times New Roman"/>
        </w:rPr>
      </w:pPr>
      <w:r>
        <w:rPr>
          <w:rFonts w:cs="Times New Roman"/>
        </w:rPr>
        <w:t>农村生活污水治理整体上以改善农村人居环境为核心，同时应做到“突出重点，梯次推进”，合理确定农村污水治理的村庄范围。坚持短期目标与长远规划相结合，综合考虑现阶段经济发展条件、财政投入能力、农民接受程度等，合理确定污水治理任务目标，梯次推进农村生活污水治理。</w:t>
      </w:r>
    </w:p>
    <w:p>
      <w:pPr>
        <w:pStyle w:val="7"/>
        <w:rPr>
          <w:rFonts w:ascii="Times New Roman" w:hAnsi="Times New Roman" w:cs="Times New Roman"/>
        </w:rPr>
      </w:pPr>
      <w:bookmarkStart w:id="35" w:name="_Toc43848812"/>
      <w:r>
        <w:rPr>
          <w:rFonts w:ascii="Times New Roman" w:hAnsi="Times New Roman" w:cs="Times New Roman"/>
        </w:rPr>
        <w:t>4.1 选择原则</w:t>
      </w:r>
      <w:bookmarkEnd w:id="35"/>
    </w:p>
    <w:p>
      <w:pPr>
        <w:ind w:firstLine="480"/>
        <w:rPr>
          <w:rFonts w:cs="Times New Roman"/>
        </w:rPr>
      </w:pPr>
      <w:r>
        <w:rPr>
          <w:rFonts w:cs="Times New Roman"/>
        </w:rPr>
        <w:t>为避免耗费大量资金建成后的农村生活污水处理设施“晒太阳”，保证其正常运行，污水治理应讲求“因地制宜、力求实效”。</w:t>
      </w:r>
    </w:p>
    <w:p>
      <w:pPr>
        <w:ind w:firstLine="480"/>
        <w:rPr>
          <w:rFonts w:cs="Times New Roman"/>
        </w:rPr>
      </w:pPr>
      <w:r>
        <w:rPr>
          <w:rFonts w:cs="Times New Roman"/>
        </w:rPr>
        <w:t>考虑污水治理的需求及可行性，优先治理地处水源保护区和断面等环境敏感区的村庄、流域水体质量恶化的人口聚居区村庄、人口较为集中的重点村和城市近郊区的村庄等。其他地区的村庄结合当地发展需要，分批次推进污水治理。治理村庄的选择原则如下：</w:t>
      </w:r>
    </w:p>
    <w:p>
      <w:pPr>
        <w:ind w:firstLine="480"/>
        <w:rPr>
          <w:rFonts w:cs="Times New Roman"/>
        </w:rPr>
      </w:pPr>
      <w:r>
        <w:rPr>
          <w:rFonts w:cs="Times New Roman"/>
        </w:rPr>
        <w:t>（1）优先治理饮用水水源保护区、自然保护区等环境敏感区村庄。</w:t>
      </w:r>
    </w:p>
    <w:p>
      <w:pPr>
        <w:ind w:firstLine="480"/>
        <w:rPr>
          <w:rFonts w:cs="Times New Roman"/>
        </w:rPr>
      </w:pPr>
      <w:r>
        <w:rPr>
          <w:rFonts w:cs="Times New Roman"/>
        </w:rPr>
        <w:t>根据《集中式饮用水水源地规范化建设环境保护技术要求》（HJ 773-2015）要求，“一级保护区内无工业、生活排污口，二级保护区内无工业和生活排污口，且二级保护区内居住人口大于或等于1000人的区域，农村生活污水实行管网统一收集、集中处理，不足1000人的，采用因地制宜的技术和工艺处理处置。”《中华人民共和国自然保护区条例》第三十二条规定，“自然保护区的核心区和缓冲区内，不得建设任何生产设施。在自然保护区的实验区内，不得建设污染环境、破坏资源或者景观的生产设施；建设其他项目，其污染物排放不得超过国家和地方规定的污染物排放标准。在自然保护区的实验区内已经建成的设施，其污染物排放超过国家和地方规定的排放标准的，应当限期治理；造成损害的，必须采取补救措施。”因此，对位于饮用水水源保护区和自然保护区内村庄优先开展生活污水治理。</w:t>
      </w:r>
    </w:p>
    <w:p>
      <w:pPr>
        <w:ind w:firstLine="480"/>
        <w:rPr>
          <w:rFonts w:cs="Times New Roman"/>
        </w:rPr>
      </w:pPr>
      <w:r>
        <w:rPr>
          <w:rFonts w:cs="Times New Roman"/>
        </w:rPr>
        <w:t>（2）优先治理人口集聚、存在污水乱排，水质需改善的控制单元范围内的村庄。</w:t>
      </w:r>
    </w:p>
    <w:p>
      <w:pPr>
        <w:ind w:firstLine="480"/>
        <w:rPr>
          <w:rFonts w:cs="Times New Roman"/>
        </w:rPr>
      </w:pPr>
      <w:r>
        <w:rPr>
          <w:rFonts w:cs="Times New Roman"/>
        </w:rPr>
        <w:t>当村庄附近有受纳水体时，其产生且未经处理的生活污水直接排入河流，导致农村河流水体环境容量和生态承载能力下降，农村水环境生态系统受到破坏。农村生活污水中含有大量氮磷物质，未经处理的生活污水直接排入水体，会加剧水体氮磷污染，导致水体富营养化和水质恶化更加严重。</w:t>
      </w:r>
    </w:p>
    <w:p>
      <w:pPr>
        <w:ind w:firstLine="480"/>
        <w:rPr>
          <w:rFonts w:cs="Times New Roman"/>
        </w:rPr>
      </w:pPr>
      <w:r>
        <w:rPr>
          <w:rFonts w:cs="Times New Roman"/>
        </w:rPr>
        <w:t>（3）优先治理城市近郊区村庄。</w:t>
      </w:r>
    </w:p>
    <w:p>
      <w:pPr>
        <w:ind w:firstLine="480"/>
        <w:rPr>
          <w:rFonts w:cs="Times New Roman"/>
        </w:rPr>
      </w:pPr>
      <w:r>
        <w:rPr>
          <w:rFonts w:cs="Times New Roman"/>
        </w:rPr>
        <w:t>《关于推进农村生活污水治理的指导意见》（中农发〔2019〕14号）中指出，到2020年，东部地区、中西部城市近郊区等有基础、有条件的地区，农村生活污水治理率明显提高，村庄内污水横流、乱排乱放情况基本消除，运维管护机制基本建立；中西部有较好基础、基本具备条件的地区，农村生活污水乱排乱放得到有效管控，治理初见成效；地处偏远、经济欠发达等地区，农村生活污水乱排乱放现象明显减少。《山西省农业农村污染治理攻坚战实施方案》（晋环土壤〔2019〕28号）中指出，到2020年，城市近郊区农村生活污水治理率明显提高，有较好基础、基本具备条件的地区生活污水乱排乱放得到有效管控。因此，有必要对城市近郊区村庄进行污水治理。</w:t>
      </w:r>
    </w:p>
    <w:p>
      <w:pPr>
        <w:ind w:firstLine="480"/>
        <w:rPr>
          <w:rFonts w:cs="Times New Roman"/>
        </w:rPr>
      </w:pPr>
      <w:r>
        <w:rPr>
          <w:rFonts w:cs="Times New Roman"/>
        </w:rPr>
        <w:t>（4）优先治理人口较为集中的中心村以及其他人口集聚区。</w:t>
      </w:r>
    </w:p>
    <w:p>
      <w:pPr>
        <w:ind w:firstLine="480"/>
        <w:rPr>
          <w:rFonts w:cs="Times New Roman"/>
        </w:rPr>
      </w:pPr>
      <w:r>
        <w:rPr>
          <w:rFonts w:cs="Times New Roman"/>
        </w:rPr>
        <w:t>人口集聚区居民用水量和排水量相对较多，且随着农村人居环境工作的推进，给排水设施的建设会使居民用水量和排水量大幅增加，对其产生的生活污水进行治理，以满足不断提高的环境需求，同时也是改善农村人居环境、提高农村居民生活水平的重要内容。中心村具有一定人口规模和较为齐全的公共设施，是城乡居民点最基层的完整的规划单元，应对其配套给排水设施在内的基本生活服务设施。</w:t>
      </w:r>
    </w:p>
    <w:p>
      <w:pPr>
        <w:ind w:firstLine="480"/>
        <w:rPr>
          <w:rFonts w:cs="Times New Roman"/>
        </w:rPr>
      </w:pPr>
      <w:r>
        <w:rPr>
          <w:rFonts w:cs="Times New Roman"/>
        </w:rPr>
        <w:t>（5）优先治理纳入农村环境综合整治的村庄。</w:t>
      </w:r>
    </w:p>
    <w:p>
      <w:pPr>
        <w:ind w:firstLine="480"/>
        <w:rPr>
          <w:rFonts w:cs="Times New Roman"/>
        </w:rPr>
      </w:pPr>
      <w:r>
        <w:rPr>
          <w:rFonts w:cs="Times New Roman"/>
        </w:rPr>
        <w:t>《全国农村环境综合整治“十三五”规划》中指出“农村环境综合整治任务包括农村饮用水水源地保护、农村生活垃圾和污水处理、畜禽养殖废弃物资源化利用和污染防治，农村生活污水处理包括生活污水处理设施建设，包括污水收集管网、集中式污水处理设施或人工湿地、氧化塘等分散式处理设施。”</w:t>
      </w:r>
    </w:p>
    <w:p>
      <w:pPr>
        <w:ind w:firstLine="476" w:firstLineChars="0"/>
        <w:rPr>
          <w:rFonts w:cs="Times New Roman"/>
        </w:rPr>
      </w:pPr>
      <w:r>
        <w:rPr>
          <w:rFonts w:cs="Times New Roman"/>
        </w:rPr>
        <w:t>（6）优先治理主要交通沿线且具备基础条件的村庄。</w:t>
      </w:r>
    </w:p>
    <w:p>
      <w:pPr>
        <w:ind w:firstLine="476" w:firstLineChars="0"/>
        <w:rPr>
          <w:rFonts w:cs="Times New Roman"/>
        </w:rPr>
      </w:pPr>
      <w:r>
        <w:rPr>
          <w:rFonts w:cs="Times New Roman"/>
        </w:rPr>
        <w:t>交通沿线村庄，由于交通方便，适宜村庄的发展，村庄内的人口有增加的趋势。具备基础条件的村庄，一方面基础设施相对完善，用水量及污水排放量相对较多，另一方面村庄经济基础较好，具有开展污水治理工作的经济条件。</w:t>
      </w:r>
    </w:p>
    <w:p>
      <w:pPr>
        <w:ind w:firstLine="476" w:firstLineChars="0"/>
        <w:rPr>
          <w:rFonts w:cs="Times New Roman"/>
        </w:rPr>
      </w:pPr>
      <w:r>
        <w:rPr>
          <w:rFonts w:cs="Times New Roman"/>
        </w:rPr>
        <w:t>对于人口较为稀少的农村，暂时不宜开展污水治理。一方面，这些村内绝大部分为旱厕，农村生活污水主要为厨房废水、洗涤污水等，排放量较小，且随着城镇化的加快，不少农民都选择进城工作并安家落户，导致农村人口流失严重，这些农村也将慢慢变成空心村。另一方面，村庄未进行统一规划，房屋大多属于自建房，缺乏合理的总体规划布局，造成居民生活污水排放方式存在诸多差异，农村分布密度小和居民建筑布局的随意性导致了农村的生活污水排放变得极为分散，生活污水收集困难。而且，生活污水治理设施的建设、运行、维护等费用高，仅靠政府下拨资金远远不够，超出农村经济承受能力和管理水平，这也会导致设施建成后无法正常运行。</w:t>
      </w:r>
    </w:p>
    <w:p>
      <w:pPr>
        <w:pStyle w:val="7"/>
        <w:rPr>
          <w:rFonts w:ascii="Times New Roman" w:hAnsi="Times New Roman" w:cs="Times New Roman"/>
        </w:rPr>
      </w:pPr>
      <w:bookmarkStart w:id="36" w:name="_Toc43848813"/>
      <w:r>
        <w:rPr>
          <w:rFonts w:ascii="Times New Roman" w:hAnsi="Times New Roman" w:cs="Times New Roman"/>
        </w:rPr>
        <w:t>4.2 治理村庄</w:t>
      </w:r>
      <w:bookmarkEnd w:id="36"/>
    </w:p>
    <w:p>
      <w:pPr>
        <w:ind w:firstLine="480"/>
        <w:rPr>
          <w:rFonts w:cs="Times New Roman"/>
        </w:rPr>
      </w:pPr>
      <w:r>
        <w:rPr>
          <w:rFonts w:cs="Times New Roman"/>
        </w:rPr>
        <w:t>基于以上原则，对保德县内的污水治理村庄进行选择。</w:t>
      </w:r>
    </w:p>
    <w:p>
      <w:pPr>
        <w:ind w:firstLine="480"/>
        <w:rPr>
          <w:rFonts w:cs="Times New Roman"/>
        </w:rPr>
      </w:pPr>
      <w:r>
        <w:rPr>
          <w:rFonts w:cs="Times New Roman"/>
        </w:rPr>
        <w:t>（1）饮用水水源保护区内村庄</w:t>
      </w:r>
    </w:p>
    <w:p>
      <w:pPr>
        <w:ind w:firstLine="480"/>
        <w:rPr>
          <w:rFonts w:cs="Times New Roman"/>
        </w:rPr>
      </w:pPr>
      <w:r>
        <w:rPr>
          <w:rFonts w:cs="Times New Roman"/>
        </w:rPr>
        <w:t>保德县内有11个水源地，包括铁匠铺水源地和10个集中供水水源地。</w:t>
      </w:r>
    </w:p>
    <w:p>
      <w:pPr>
        <w:ind w:firstLine="480"/>
        <w:rPr>
          <w:rFonts w:cs="Times New Roman"/>
        </w:rPr>
      </w:pPr>
      <w:r>
        <w:rPr>
          <w:rFonts w:cs="Times New Roman"/>
        </w:rPr>
        <w:t>铁匠铺水源地内没有村落，但是距离铁匠铺水源地较近的处有铁匠铺村，常住人口1800人，污水排放量66.6m</w:t>
      </w:r>
      <w:r>
        <w:rPr>
          <w:rFonts w:cs="Times New Roman"/>
          <w:vertAlign w:val="superscript"/>
        </w:rPr>
        <w:t>3</w:t>
      </w:r>
      <w:r>
        <w:rPr>
          <w:rFonts w:cs="Times New Roman"/>
        </w:rPr>
        <w:t>/d，应优先考虑治理。</w:t>
      </w:r>
    </w:p>
    <w:p>
      <w:pPr>
        <w:ind w:firstLine="480"/>
        <w:rPr>
          <w:rFonts w:cs="Times New Roman"/>
        </w:rPr>
      </w:pPr>
      <w:r>
        <w:rPr>
          <w:rFonts w:cs="Times New Roman"/>
        </w:rPr>
        <w:t>10个集中供水水源地名称及位置见表4-1。</w:t>
      </w:r>
    </w:p>
    <w:p>
      <w:pPr>
        <w:pStyle w:val="16"/>
        <w:ind w:firstLine="420"/>
        <w:rPr>
          <w:rFonts w:eastAsia="黑体" w:cs="Times New Roman"/>
          <w:b w:val="0"/>
          <w:bCs/>
        </w:rPr>
      </w:pPr>
      <w:r>
        <w:rPr>
          <w:rFonts w:eastAsia="黑体" w:cs="Times New Roman"/>
          <w:b w:val="0"/>
          <w:bCs/>
        </w:rPr>
        <w:t>表4-1  保德县水源地名称、位置及常住人口</w:t>
      </w:r>
    </w:p>
    <w:tbl>
      <w:tblPr>
        <w:tblStyle w:val="30"/>
        <w:tblW w:w="87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418"/>
        <w:gridCol w:w="1275"/>
        <w:gridCol w:w="2410"/>
        <w:gridCol w:w="1843"/>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序号</w:t>
            </w:r>
          </w:p>
        </w:tc>
        <w:tc>
          <w:tcPr>
            <w:tcW w:w="1418"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水源地名称</w:t>
            </w:r>
          </w:p>
        </w:tc>
        <w:tc>
          <w:tcPr>
            <w:tcW w:w="1275"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位置</w:t>
            </w:r>
          </w:p>
        </w:tc>
        <w:tc>
          <w:tcPr>
            <w:tcW w:w="2410"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服务对象</w:t>
            </w:r>
          </w:p>
        </w:tc>
        <w:tc>
          <w:tcPr>
            <w:tcW w:w="1843"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水源地所在村落常住人口（人）</w:t>
            </w:r>
          </w:p>
        </w:tc>
        <w:tc>
          <w:tcPr>
            <w:tcW w:w="1134"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服务人口（人）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w:t>
            </w:r>
          </w:p>
        </w:tc>
        <w:tc>
          <w:tcPr>
            <w:tcW w:w="1418"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义门镇集中供水水源</w:t>
            </w:r>
          </w:p>
        </w:tc>
        <w:tc>
          <w:tcPr>
            <w:tcW w:w="1275"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义门镇义门村东</w:t>
            </w:r>
          </w:p>
        </w:tc>
        <w:tc>
          <w:tcPr>
            <w:tcW w:w="2410"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义门镇</w:t>
            </w:r>
          </w:p>
        </w:tc>
        <w:tc>
          <w:tcPr>
            <w:tcW w:w="1843"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900</w:t>
            </w:r>
          </w:p>
        </w:tc>
        <w:tc>
          <w:tcPr>
            <w:tcW w:w="1134"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2</w:t>
            </w:r>
          </w:p>
        </w:tc>
        <w:tc>
          <w:tcPr>
            <w:tcW w:w="1418"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腰庄乡集中供水水源</w:t>
            </w:r>
          </w:p>
        </w:tc>
        <w:tc>
          <w:tcPr>
            <w:tcW w:w="1275"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腰庄乡芦子沟煤矿北</w:t>
            </w:r>
          </w:p>
        </w:tc>
        <w:tc>
          <w:tcPr>
            <w:tcW w:w="2410"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乡政府、腰庄、义门、东关三镇</w:t>
            </w:r>
          </w:p>
        </w:tc>
        <w:tc>
          <w:tcPr>
            <w:tcW w:w="1843"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430</w:t>
            </w:r>
          </w:p>
        </w:tc>
        <w:tc>
          <w:tcPr>
            <w:tcW w:w="1134"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3</w:t>
            </w:r>
          </w:p>
        </w:tc>
        <w:tc>
          <w:tcPr>
            <w:tcW w:w="1418"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杨家湾集中供水水源</w:t>
            </w:r>
          </w:p>
        </w:tc>
        <w:tc>
          <w:tcPr>
            <w:tcW w:w="1275"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桥头镇朱家川河北岸冠宇水泥厂东</w:t>
            </w:r>
          </w:p>
        </w:tc>
        <w:tc>
          <w:tcPr>
            <w:tcW w:w="2410"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桥头镇白家庄、下流碛，朱家川河下游杨家湾8个村</w:t>
            </w:r>
          </w:p>
        </w:tc>
        <w:tc>
          <w:tcPr>
            <w:tcW w:w="1843"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230</w:t>
            </w:r>
          </w:p>
        </w:tc>
        <w:tc>
          <w:tcPr>
            <w:tcW w:w="1134"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4</w:t>
            </w:r>
          </w:p>
        </w:tc>
        <w:tc>
          <w:tcPr>
            <w:tcW w:w="1418"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桥头镇集中供水水源</w:t>
            </w:r>
          </w:p>
        </w:tc>
        <w:tc>
          <w:tcPr>
            <w:tcW w:w="1275"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北岔沟加油站北</w:t>
            </w:r>
          </w:p>
        </w:tc>
        <w:tc>
          <w:tcPr>
            <w:tcW w:w="2410"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桥头等4村</w:t>
            </w:r>
          </w:p>
        </w:tc>
        <w:tc>
          <w:tcPr>
            <w:tcW w:w="1843"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1020</w:t>
            </w:r>
          </w:p>
        </w:tc>
        <w:tc>
          <w:tcPr>
            <w:tcW w:w="1134"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3686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5</w:t>
            </w:r>
          </w:p>
        </w:tc>
        <w:tc>
          <w:tcPr>
            <w:tcW w:w="1418"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窑洼乡集中供水水源</w:t>
            </w:r>
          </w:p>
        </w:tc>
        <w:tc>
          <w:tcPr>
            <w:tcW w:w="1275"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窑洼乡首沟村北</w:t>
            </w:r>
          </w:p>
        </w:tc>
        <w:tc>
          <w:tcPr>
            <w:tcW w:w="2410"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窑洼等4村</w:t>
            </w:r>
          </w:p>
        </w:tc>
        <w:tc>
          <w:tcPr>
            <w:tcW w:w="1843"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330</w:t>
            </w:r>
          </w:p>
        </w:tc>
        <w:tc>
          <w:tcPr>
            <w:tcW w:w="1134"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1213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6</w:t>
            </w:r>
          </w:p>
        </w:tc>
        <w:tc>
          <w:tcPr>
            <w:tcW w:w="1418"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窑圪台乡集中供水水源</w:t>
            </w:r>
          </w:p>
        </w:tc>
        <w:tc>
          <w:tcPr>
            <w:tcW w:w="1275"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窑圪台银子塔村南</w:t>
            </w:r>
          </w:p>
        </w:tc>
        <w:tc>
          <w:tcPr>
            <w:tcW w:w="2410"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窑圪台、银子塔</w:t>
            </w:r>
          </w:p>
        </w:tc>
        <w:tc>
          <w:tcPr>
            <w:tcW w:w="1843"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110</w:t>
            </w:r>
          </w:p>
        </w:tc>
        <w:tc>
          <w:tcPr>
            <w:tcW w:w="1134"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844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7</w:t>
            </w:r>
          </w:p>
        </w:tc>
        <w:tc>
          <w:tcPr>
            <w:tcW w:w="1418"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孙家沟集中供水水源</w:t>
            </w:r>
          </w:p>
        </w:tc>
        <w:tc>
          <w:tcPr>
            <w:tcW w:w="1275"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孙家沟煤矿东南</w:t>
            </w:r>
          </w:p>
        </w:tc>
        <w:tc>
          <w:tcPr>
            <w:tcW w:w="2410"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孙家沟</w:t>
            </w:r>
          </w:p>
        </w:tc>
        <w:tc>
          <w:tcPr>
            <w:tcW w:w="1843"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100</w:t>
            </w:r>
          </w:p>
        </w:tc>
        <w:tc>
          <w:tcPr>
            <w:tcW w:w="1134"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648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8</w:t>
            </w:r>
          </w:p>
        </w:tc>
        <w:tc>
          <w:tcPr>
            <w:tcW w:w="1418"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南河沟集中供水水源</w:t>
            </w:r>
          </w:p>
        </w:tc>
        <w:tc>
          <w:tcPr>
            <w:tcW w:w="1275"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南河沟村北</w:t>
            </w:r>
          </w:p>
        </w:tc>
        <w:tc>
          <w:tcPr>
            <w:tcW w:w="2410"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南河沟</w:t>
            </w:r>
          </w:p>
        </w:tc>
        <w:tc>
          <w:tcPr>
            <w:tcW w:w="1843"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300</w:t>
            </w:r>
          </w:p>
        </w:tc>
        <w:tc>
          <w:tcPr>
            <w:tcW w:w="1134"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9</w:t>
            </w:r>
          </w:p>
        </w:tc>
        <w:tc>
          <w:tcPr>
            <w:tcW w:w="1418"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土崖塔集中供水水源</w:t>
            </w:r>
          </w:p>
        </w:tc>
        <w:tc>
          <w:tcPr>
            <w:tcW w:w="1275"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土崖塔安家山河谷中</w:t>
            </w:r>
          </w:p>
        </w:tc>
        <w:tc>
          <w:tcPr>
            <w:tcW w:w="2410"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土崖塔</w:t>
            </w:r>
          </w:p>
        </w:tc>
        <w:tc>
          <w:tcPr>
            <w:tcW w:w="1843"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50</w:t>
            </w:r>
          </w:p>
        </w:tc>
        <w:tc>
          <w:tcPr>
            <w:tcW w:w="1134"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370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10</w:t>
            </w:r>
          </w:p>
        </w:tc>
        <w:tc>
          <w:tcPr>
            <w:tcW w:w="1418"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冯家川集中供水水源</w:t>
            </w:r>
          </w:p>
        </w:tc>
        <w:tc>
          <w:tcPr>
            <w:tcW w:w="1275"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冯家川龙驼沟</w:t>
            </w:r>
          </w:p>
        </w:tc>
        <w:tc>
          <w:tcPr>
            <w:tcW w:w="2410"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冯家川</w:t>
            </w:r>
          </w:p>
        </w:tc>
        <w:tc>
          <w:tcPr>
            <w:tcW w:w="1843"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280</w:t>
            </w:r>
          </w:p>
        </w:tc>
        <w:tc>
          <w:tcPr>
            <w:tcW w:w="1134" w:type="dxa"/>
            <w:vAlign w:val="center"/>
          </w:tcPr>
          <w:p>
            <w:pPr>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1417</w:t>
            </w:r>
          </w:p>
        </w:tc>
      </w:tr>
    </w:tbl>
    <w:p>
      <w:pPr>
        <w:ind w:firstLine="480"/>
        <w:rPr>
          <w:rFonts w:cs="Times New Roman"/>
          <w:szCs w:val="24"/>
        </w:rPr>
      </w:pPr>
      <w:r>
        <w:rPr>
          <w:rFonts w:cs="Times New Roman"/>
          <w:szCs w:val="24"/>
        </w:rPr>
        <w:t>根据上述集中供水水源地，为了有效地防止上述水源地的受污染风险，优先治理水源地就近的村落进行生活生产污水。上述水源地对应的村落分比为义门镇义门村、腰庄乡后芦子村、桥头镇白家庄、桥头镇桥头村、窑洼乡首沟村、窑圪台银子塔村、孙家沟乡孙家沟村、南河沟乡南河沟村、土崖塔乡安家山村、冯家川乡龙驼沟村，这些水源地就近村落需要优先治理。根据当地自然经济条件及人口数量，选择</w:t>
      </w:r>
      <w:r>
        <w:rPr>
          <w:rFonts w:hint="eastAsia" w:cs="Times New Roman"/>
          <w:szCs w:val="24"/>
        </w:rPr>
        <w:t>东关镇铁匠铺村</w:t>
      </w:r>
      <w:r>
        <w:rPr>
          <w:rFonts w:cs="Times New Roman"/>
          <w:szCs w:val="24"/>
        </w:rPr>
        <w:t>、</w:t>
      </w:r>
      <w:r>
        <w:rPr>
          <w:rFonts w:hint="eastAsia" w:cs="Times New Roman"/>
          <w:szCs w:val="24"/>
        </w:rPr>
        <w:t>腰庄乡后芦子村</w:t>
      </w:r>
      <w:r>
        <w:rPr>
          <w:rFonts w:cs="Times New Roman"/>
          <w:szCs w:val="24"/>
        </w:rPr>
        <w:t>、</w:t>
      </w:r>
      <w:r>
        <w:rPr>
          <w:rFonts w:hint="eastAsia" w:cs="Times New Roman"/>
          <w:szCs w:val="24"/>
        </w:rPr>
        <w:t>南河沟乡南河沟村</w:t>
      </w:r>
      <w:r>
        <w:rPr>
          <w:rFonts w:cs="Times New Roman"/>
          <w:szCs w:val="24"/>
        </w:rPr>
        <w:t>、</w:t>
      </w:r>
      <w:r>
        <w:rPr>
          <w:rFonts w:hint="eastAsia" w:cs="Times New Roman"/>
          <w:szCs w:val="24"/>
        </w:rPr>
        <w:t>桥头镇白家庄村</w:t>
      </w:r>
      <w:r>
        <w:rPr>
          <w:rFonts w:cs="Times New Roman"/>
          <w:szCs w:val="24"/>
        </w:rPr>
        <w:t>。</w:t>
      </w:r>
    </w:p>
    <w:p>
      <w:pPr>
        <w:ind w:firstLine="480"/>
        <w:rPr>
          <w:rFonts w:cs="Times New Roman"/>
        </w:rPr>
      </w:pPr>
      <w:r>
        <w:rPr>
          <w:rFonts w:cs="Times New Roman"/>
        </w:rPr>
        <w:t>（2）水质需改善控制单元范围内的村庄</w:t>
      </w:r>
    </w:p>
    <w:p>
      <w:pPr>
        <w:ind w:firstLine="480"/>
        <w:rPr>
          <w:rFonts w:hint="eastAsia" w:eastAsia="宋体" w:cs="Times New Roman"/>
          <w:lang w:eastAsia="zh-CN"/>
        </w:rPr>
      </w:pPr>
      <w:r>
        <w:rPr>
          <w:rFonts w:cs="Times New Roman"/>
        </w:rPr>
        <w:t>朱家川河是黄河的一级支流，对朱家川河及黄河两岸500m范围内的人口聚集村庄开展农村生活污水治理。位于该区域内的村庄36个，人口在500人以上的村庄11个（表4-2）。此区域以外的农村居民生活污水排放后，通过地表下渗、大气蒸发等方式，基本不会形成径流进入河流。因此，选择沿线500m范围内，常住人口</w:t>
      </w:r>
      <w:r>
        <w:rPr>
          <w:rFonts w:hint="eastAsia" w:cs="Times New Roman"/>
        </w:rPr>
        <w:t>较大的</w:t>
      </w:r>
      <w:r>
        <w:rPr>
          <w:rFonts w:cs="Times New Roman"/>
        </w:rPr>
        <w:t>且未纳入管网的村落</w:t>
      </w:r>
      <w:r>
        <w:rPr>
          <w:rFonts w:hint="eastAsia" w:cs="Times New Roman"/>
        </w:rPr>
        <w:t>，</w:t>
      </w:r>
      <w:r>
        <w:rPr>
          <w:rFonts w:cs="Times New Roman"/>
        </w:rPr>
        <w:t>同时</w:t>
      </w:r>
      <w:r>
        <w:rPr>
          <w:rFonts w:hint="eastAsia" w:cs="Times New Roman"/>
        </w:rPr>
        <w:t>充分</w:t>
      </w:r>
      <w:r>
        <w:rPr>
          <w:rFonts w:cs="Times New Roman"/>
        </w:rPr>
        <w:t>考虑当地经济</w:t>
      </w:r>
      <w:r>
        <w:rPr>
          <w:rFonts w:hint="eastAsia" w:cs="Times New Roman"/>
        </w:rPr>
        <w:t>条件</w:t>
      </w:r>
      <w:r>
        <w:rPr>
          <w:rFonts w:cs="Times New Roman"/>
        </w:rPr>
        <w:t>、生产发展需要及排污情况</w:t>
      </w:r>
      <w:r>
        <w:rPr>
          <w:rFonts w:hint="eastAsia" w:cs="Times New Roman"/>
        </w:rPr>
        <w:t>选定</w:t>
      </w:r>
      <w:r>
        <w:rPr>
          <w:rFonts w:cs="Times New Roman"/>
        </w:rPr>
        <w:t>的村落作为主要治理目标。</w:t>
      </w:r>
      <w:r>
        <w:rPr>
          <w:rFonts w:hint="eastAsia" w:cs="Times New Roman"/>
        </w:rPr>
        <w:t>本次</w:t>
      </w:r>
      <w:r>
        <w:rPr>
          <w:rFonts w:cs="Times New Roman"/>
        </w:rPr>
        <w:t>治理目标选定</w:t>
      </w:r>
      <w:r>
        <w:rPr>
          <w:rFonts w:hint="eastAsia" w:cs="Times New Roman"/>
          <w:lang w:eastAsia="zh-CN"/>
        </w:rPr>
        <w:t>东关镇铁匠铺村、</w:t>
      </w:r>
      <w:r>
        <w:rPr>
          <w:rFonts w:hint="eastAsia" w:cs="Times New Roman"/>
        </w:rPr>
        <w:t>东关镇</w:t>
      </w:r>
      <w:r>
        <w:rPr>
          <w:rFonts w:cs="Times New Roman"/>
        </w:rPr>
        <w:t>郭家滩村、东关镇马家滩村、东关镇王家滩村、东关镇张家圪坨村</w:t>
      </w:r>
      <w:r>
        <w:rPr>
          <w:rFonts w:hint="eastAsia" w:cs="Times New Roman"/>
          <w:lang w:eastAsia="zh-CN"/>
        </w:rPr>
        <w:t>和杨家湾镇花园村。</w:t>
      </w:r>
    </w:p>
    <w:p>
      <w:pPr>
        <w:pStyle w:val="16"/>
        <w:ind w:firstLine="420"/>
        <w:rPr>
          <w:rFonts w:eastAsia="黑体" w:cs="Times New Roman"/>
        </w:rPr>
      </w:pPr>
      <w:r>
        <w:rPr>
          <w:rFonts w:eastAsia="黑体" w:cs="Times New Roman"/>
          <w:b w:val="0"/>
          <w:bCs/>
        </w:rPr>
        <w:t>表4-2  河道两岸</w:t>
      </w:r>
      <w:r>
        <w:rPr>
          <w:rFonts w:hint="eastAsia" w:eastAsia="黑体" w:cs="Times New Roman"/>
          <w:b w:val="0"/>
          <w:bCs/>
          <w:lang w:val="en-US" w:eastAsia="zh-CN"/>
        </w:rPr>
        <w:t>3km</w:t>
      </w:r>
      <w:r>
        <w:rPr>
          <w:rFonts w:eastAsia="黑体" w:cs="Times New Roman"/>
          <w:b w:val="0"/>
          <w:bCs/>
        </w:rPr>
        <w:t>范围内的村庄表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1"/>
        <w:gridCol w:w="1050"/>
        <w:gridCol w:w="1346"/>
        <w:gridCol w:w="1402"/>
        <w:gridCol w:w="752"/>
        <w:gridCol w:w="1205"/>
        <w:gridCol w:w="1317"/>
        <w:gridCol w:w="12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blHeader/>
        </w:trPr>
        <w:tc>
          <w:tcPr>
            <w:tcW w:w="381" w:type="pc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序号</w:t>
            </w:r>
          </w:p>
        </w:tc>
        <w:tc>
          <w:tcPr>
            <w:tcW w:w="579" w:type="pc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乡镇</w:t>
            </w:r>
          </w:p>
        </w:tc>
        <w:tc>
          <w:tcPr>
            <w:tcW w:w="743" w:type="pc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774" w:type="pct"/>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415" w:type="pct"/>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序号</w:t>
            </w:r>
          </w:p>
        </w:tc>
        <w:tc>
          <w:tcPr>
            <w:tcW w:w="665" w:type="pct"/>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乡镇</w:t>
            </w:r>
          </w:p>
        </w:tc>
        <w:tc>
          <w:tcPr>
            <w:tcW w:w="727" w:type="pct"/>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716" w:type="pct"/>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81" w:type="pct"/>
            <w:shd w:val="clear" w:color="auto" w:fill="auto"/>
            <w:noWrap/>
          </w:tcPr>
          <w:p>
            <w:pPr>
              <w:spacing w:line="240" w:lineRule="auto"/>
              <w:ind w:firstLine="0" w:firstLineChars="0"/>
              <w:jc w:val="center"/>
              <w:rPr>
                <w:rFonts w:cs="Times New Roman"/>
                <w:sz w:val="21"/>
                <w:szCs w:val="21"/>
              </w:rPr>
            </w:pPr>
            <w:r>
              <w:rPr>
                <w:rFonts w:cs="Times New Roman"/>
                <w:sz w:val="21"/>
                <w:szCs w:val="21"/>
              </w:rPr>
              <w:t>1</w:t>
            </w:r>
          </w:p>
        </w:tc>
        <w:tc>
          <w:tcPr>
            <w:tcW w:w="579" w:type="pct"/>
            <w:vMerge w:val="restar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义门镇</w:t>
            </w:r>
          </w:p>
        </w:tc>
        <w:tc>
          <w:tcPr>
            <w:tcW w:w="743"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天桥村</w:t>
            </w:r>
          </w:p>
        </w:tc>
        <w:tc>
          <w:tcPr>
            <w:tcW w:w="774" w:type="pct"/>
            <w:vAlign w:val="center"/>
          </w:tcPr>
          <w:p>
            <w:pPr>
              <w:spacing w:line="240" w:lineRule="auto"/>
              <w:ind w:firstLine="0" w:firstLineChars="0"/>
              <w:jc w:val="center"/>
              <w:rPr>
                <w:rFonts w:cs="Times New Roman"/>
                <w:sz w:val="21"/>
                <w:szCs w:val="21"/>
              </w:rPr>
            </w:pPr>
            <w:r>
              <w:rPr>
                <w:rFonts w:cs="Times New Roman"/>
                <w:sz w:val="21"/>
                <w:szCs w:val="21"/>
              </w:rPr>
              <w:t>350</w:t>
            </w:r>
          </w:p>
        </w:tc>
        <w:tc>
          <w:tcPr>
            <w:tcW w:w="415" w:type="pct"/>
            <w:vAlign w:val="center"/>
          </w:tcPr>
          <w:p>
            <w:pPr>
              <w:spacing w:line="240" w:lineRule="auto"/>
              <w:ind w:firstLine="0" w:firstLineChars="0"/>
              <w:jc w:val="center"/>
              <w:rPr>
                <w:rFonts w:cs="Times New Roman"/>
                <w:sz w:val="21"/>
                <w:szCs w:val="21"/>
              </w:rPr>
            </w:pPr>
            <w:r>
              <w:rPr>
                <w:rFonts w:cs="Times New Roman"/>
                <w:sz w:val="21"/>
                <w:szCs w:val="21"/>
              </w:rPr>
              <w:t>20</w:t>
            </w:r>
          </w:p>
        </w:tc>
        <w:tc>
          <w:tcPr>
            <w:tcW w:w="665" w:type="pct"/>
            <w:vMerge w:val="restart"/>
            <w:vAlign w:val="center"/>
          </w:tcPr>
          <w:p>
            <w:pPr>
              <w:spacing w:line="240" w:lineRule="auto"/>
              <w:ind w:firstLine="0" w:firstLineChars="0"/>
              <w:jc w:val="center"/>
              <w:rPr>
                <w:rFonts w:cs="Times New Roman"/>
                <w:sz w:val="21"/>
                <w:szCs w:val="21"/>
              </w:rPr>
            </w:pPr>
            <w:r>
              <w:rPr>
                <w:rFonts w:cs="Times New Roman"/>
                <w:sz w:val="21"/>
                <w:szCs w:val="21"/>
              </w:rPr>
              <w:t>杨家湾镇</w:t>
            </w:r>
          </w:p>
        </w:tc>
        <w:tc>
          <w:tcPr>
            <w:tcW w:w="727" w:type="pct"/>
          </w:tcPr>
          <w:p>
            <w:pPr>
              <w:spacing w:line="240" w:lineRule="auto"/>
              <w:ind w:firstLine="0" w:firstLineChars="0"/>
              <w:jc w:val="center"/>
              <w:rPr>
                <w:rFonts w:cs="Times New Roman"/>
                <w:sz w:val="21"/>
                <w:szCs w:val="21"/>
              </w:rPr>
            </w:pPr>
            <w:r>
              <w:rPr>
                <w:rFonts w:cs="Times New Roman"/>
                <w:sz w:val="21"/>
                <w:szCs w:val="21"/>
              </w:rPr>
              <w:t>崔家湾村</w:t>
            </w:r>
          </w:p>
        </w:tc>
        <w:tc>
          <w:tcPr>
            <w:tcW w:w="716" w:type="pct"/>
          </w:tcPr>
          <w:p>
            <w:pPr>
              <w:spacing w:line="240" w:lineRule="auto"/>
              <w:ind w:firstLine="0" w:firstLineChars="0"/>
              <w:jc w:val="center"/>
              <w:rPr>
                <w:rFonts w:cs="Times New Roman"/>
                <w:sz w:val="21"/>
                <w:szCs w:val="21"/>
              </w:rPr>
            </w:pPr>
            <w:r>
              <w:rPr>
                <w:rFonts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81" w:type="pct"/>
            <w:shd w:val="clear" w:color="auto" w:fill="auto"/>
            <w:noWrap/>
          </w:tcPr>
          <w:p>
            <w:pPr>
              <w:spacing w:line="240" w:lineRule="auto"/>
              <w:ind w:firstLine="0" w:firstLineChars="0"/>
              <w:jc w:val="center"/>
              <w:rPr>
                <w:rFonts w:cs="Times New Roman"/>
                <w:sz w:val="21"/>
                <w:szCs w:val="21"/>
              </w:rPr>
            </w:pPr>
            <w:r>
              <w:rPr>
                <w:rFonts w:cs="Times New Roman"/>
                <w:sz w:val="21"/>
                <w:szCs w:val="21"/>
              </w:rPr>
              <w:t>2</w:t>
            </w:r>
          </w:p>
        </w:tc>
        <w:tc>
          <w:tcPr>
            <w:tcW w:w="579" w:type="pct"/>
            <w:vMerge w:val="continue"/>
            <w:shd w:val="clear" w:color="auto" w:fill="auto"/>
            <w:noWrap/>
            <w:vAlign w:val="center"/>
          </w:tcPr>
          <w:p>
            <w:pPr>
              <w:spacing w:line="240" w:lineRule="auto"/>
              <w:ind w:firstLine="0" w:firstLineChars="0"/>
              <w:jc w:val="center"/>
              <w:rPr>
                <w:rFonts w:cs="Times New Roman"/>
                <w:sz w:val="21"/>
                <w:szCs w:val="21"/>
              </w:rPr>
            </w:pPr>
          </w:p>
        </w:tc>
        <w:tc>
          <w:tcPr>
            <w:tcW w:w="743" w:type="pct"/>
            <w:shd w:val="clear" w:color="auto" w:fill="auto"/>
            <w:noWrap/>
          </w:tcPr>
          <w:p>
            <w:pPr>
              <w:spacing w:line="240" w:lineRule="auto"/>
              <w:ind w:firstLine="0" w:firstLineChars="0"/>
              <w:jc w:val="center"/>
              <w:rPr>
                <w:rFonts w:cs="Times New Roman"/>
                <w:sz w:val="21"/>
                <w:szCs w:val="21"/>
              </w:rPr>
            </w:pPr>
            <w:r>
              <w:rPr>
                <w:rFonts w:cs="Times New Roman"/>
                <w:sz w:val="21"/>
                <w:szCs w:val="21"/>
              </w:rPr>
              <w:t>刘家畔村</w:t>
            </w:r>
          </w:p>
        </w:tc>
        <w:tc>
          <w:tcPr>
            <w:tcW w:w="774" w:type="pct"/>
          </w:tcPr>
          <w:p>
            <w:pPr>
              <w:spacing w:line="240" w:lineRule="auto"/>
              <w:ind w:firstLine="0" w:firstLineChars="0"/>
              <w:jc w:val="center"/>
              <w:rPr>
                <w:rFonts w:cs="Times New Roman"/>
                <w:sz w:val="21"/>
                <w:szCs w:val="21"/>
              </w:rPr>
            </w:pPr>
            <w:r>
              <w:rPr>
                <w:rFonts w:cs="Times New Roman"/>
                <w:sz w:val="21"/>
                <w:szCs w:val="21"/>
              </w:rPr>
              <w:t>350</w:t>
            </w:r>
          </w:p>
        </w:tc>
        <w:tc>
          <w:tcPr>
            <w:tcW w:w="415" w:type="pct"/>
            <w:vAlign w:val="center"/>
          </w:tcPr>
          <w:p>
            <w:pPr>
              <w:spacing w:line="240" w:lineRule="auto"/>
              <w:ind w:firstLine="0" w:firstLineChars="0"/>
              <w:jc w:val="center"/>
              <w:rPr>
                <w:rFonts w:cs="Times New Roman"/>
                <w:sz w:val="21"/>
                <w:szCs w:val="21"/>
              </w:rPr>
            </w:pPr>
            <w:r>
              <w:rPr>
                <w:rFonts w:cs="Times New Roman"/>
                <w:sz w:val="21"/>
                <w:szCs w:val="21"/>
              </w:rPr>
              <w:t>21</w:t>
            </w:r>
          </w:p>
        </w:tc>
        <w:tc>
          <w:tcPr>
            <w:tcW w:w="665" w:type="pct"/>
            <w:vMerge w:val="continue"/>
            <w:vAlign w:val="center"/>
          </w:tcPr>
          <w:p>
            <w:pPr>
              <w:spacing w:line="240" w:lineRule="auto"/>
              <w:ind w:firstLine="0" w:firstLineChars="0"/>
              <w:jc w:val="center"/>
              <w:rPr>
                <w:rFonts w:cs="Times New Roman"/>
                <w:sz w:val="21"/>
                <w:szCs w:val="21"/>
              </w:rPr>
            </w:pPr>
          </w:p>
        </w:tc>
        <w:tc>
          <w:tcPr>
            <w:tcW w:w="727" w:type="pct"/>
          </w:tcPr>
          <w:p>
            <w:pPr>
              <w:spacing w:line="240" w:lineRule="auto"/>
              <w:ind w:firstLine="0" w:firstLineChars="0"/>
              <w:jc w:val="center"/>
              <w:rPr>
                <w:rFonts w:cs="Times New Roman"/>
                <w:sz w:val="21"/>
                <w:szCs w:val="21"/>
              </w:rPr>
            </w:pPr>
            <w:r>
              <w:rPr>
                <w:rFonts w:cs="Times New Roman"/>
                <w:sz w:val="21"/>
                <w:szCs w:val="21"/>
              </w:rPr>
              <w:t>稻畦村</w:t>
            </w:r>
          </w:p>
        </w:tc>
        <w:tc>
          <w:tcPr>
            <w:tcW w:w="716" w:type="pct"/>
          </w:tcPr>
          <w:p>
            <w:pPr>
              <w:spacing w:line="240" w:lineRule="auto"/>
              <w:ind w:firstLine="0" w:firstLineChars="0"/>
              <w:jc w:val="center"/>
              <w:rPr>
                <w:rFonts w:cs="Times New Roman"/>
                <w:sz w:val="21"/>
                <w:szCs w:val="21"/>
              </w:rPr>
            </w:pPr>
            <w:r>
              <w:rPr>
                <w:rFonts w:cs="Times New Roman"/>
                <w:sz w:val="21"/>
                <w:szCs w:val="21"/>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81" w:type="pct"/>
            <w:shd w:val="clear" w:color="auto" w:fill="auto"/>
            <w:noWrap/>
          </w:tcPr>
          <w:p>
            <w:pPr>
              <w:spacing w:line="240" w:lineRule="auto"/>
              <w:ind w:firstLine="0" w:firstLineChars="0"/>
              <w:jc w:val="center"/>
              <w:rPr>
                <w:rFonts w:cs="Times New Roman"/>
                <w:sz w:val="21"/>
                <w:szCs w:val="21"/>
              </w:rPr>
            </w:pPr>
            <w:r>
              <w:rPr>
                <w:rFonts w:cs="Times New Roman"/>
                <w:sz w:val="21"/>
                <w:szCs w:val="21"/>
              </w:rPr>
              <w:t>3</w:t>
            </w:r>
          </w:p>
        </w:tc>
        <w:tc>
          <w:tcPr>
            <w:tcW w:w="579" w:type="pct"/>
            <w:vMerge w:val="continue"/>
            <w:shd w:val="clear" w:color="auto" w:fill="auto"/>
            <w:noWrap/>
            <w:vAlign w:val="center"/>
          </w:tcPr>
          <w:p>
            <w:pPr>
              <w:spacing w:line="240" w:lineRule="auto"/>
              <w:ind w:firstLine="0" w:firstLineChars="0"/>
              <w:jc w:val="center"/>
              <w:rPr>
                <w:rFonts w:cs="Times New Roman"/>
                <w:sz w:val="21"/>
                <w:szCs w:val="21"/>
              </w:rPr>
            </w:pPr>
          </w:p>
        </w:tc>
        <w:tc>
          <w:tcPr>
            <w:tcW w:w="743" w:type="pct"/>
            <w:shd w:val="clear" w:color="auto" w:fill="auto"/>
            <w:noWrap/>
          </w:tcPr>
          <w:p>
            <w:pPr>
              <w:spacing w:line="240" w:lineRule="auto"/>
              <w:ind w:firstLine="0" w:firstLineChars="0"/>
              <w:jc w:val="center"/>
              <w:rPr>
                <w:rFonts w:cs="Times New Roman"/>
                <w:sz w:val="21"/>
                <w:szCs w:val="21"/>
              </w:rPr>
            </w:pPr>
            <w:r>
              <w:rPr>
                <w:rFonts w:cs="Times New Roman"/>
                <w:sz w:val="21"/>
                <w:szCs w:val="21"/>
              </w:rPr>
              <w:t>康家沟</w:t>
            </w:r>
          </w:p>
        </w:tc>
        <w:tc>
          <w:tcPr>
            <w:tcW w:w="774" w:type="pct"/>
          </w:tcPr>
          <w:p>
            <w:pPr>
              <w:spacing w:line="240" w:lineRule="auto"/>
              <w:ind w:firstLine="0" w:firstLineChars="0"/>
              <w:jc w:val="center"/>
              <w:rPr>
                <w:rFonts w:cs="Times New Roman"/>
                <w:sz w:val="21"/>
                <w:szCs w:val="21"/>
              </w:rPr>
            </w:pPr>
            <w:r>
              <w:rPr>
                <w:rFonts w:cs="Times New Roman"/>
                <w:sz w:val="21"/>
                <w:szCs w:val="21"/>
              </w:rPr>
              <w:t>200</w:t>
            </w:r>
          </w:p>
        </w:tc>
        <w:tc>
          <w:tcPr>
            <w:tcW w:w="415" w:type="pct"/>
            <w:vAlign w:val="center"/>
          </w:tcPr>
          <w:p>
            <w:pPr>
              <w:spacing w:line="240" w:lineRule="auto"/>
              <w:ind w:firstLine="0" w:firstLineChars="0"/>
              <w:jc w:val="center"/>
              <w:rPr>
                <w:rFonts w:cs="Times New Roman"/>
                <w:sz w:val="21"/>
                <w:szCs w:val="21"/>
              </w:rPr>
            </w:pPr>
            <w:r>
              <w:rPr>
                <w:rFonts w:cs="Times New Roman"/>
                <w:sz w:val="21"/>
                <w:szCs w:val="21"/>
              </w:rPr>
              <w:t>22</w:t>
            </w:r>
          </w:p>
        </w:tc>
        <w:tc>
          <w:tcPr>
            <w:tcW w:w="665" w:type="pct"/>
            <w:vMerge w:val="restart"/>
            <w:vAlign w:val="center"/>
          </w:tcPr>
          <w:p>
            <w:pPr>
              <w:spacing w:line="240" w:lineRule="auto"/>
              <w:ind w:firstLine="0" w:firstLineChars="0"/>
              <w:jc w:val="center"/>
              <w:rPr>
                <w:rFonts w:cs="Times New Roman"/>
                <w:sz w:val="21"/>
                <w:szCs w:val="21"/>
              </w:rPr>
            </w:pPr>
            <w:r>
              <w:rPr>
                <w:rFonts w:cs="Times New Roman"/>
                <w:sz w:val="21"/>
                <w:szCs w:val="21"/>
              </w:rPr>
              <w:t>桥头镇</w:t>
            </w:r>
          </w:p>
        </w:tc>
        <w:tc>
          <w:tcPr>
            <w:tcW w:w="727" w:type="pct"/>
          </w:tcPr>
          <w:p>
            <w:pPr>
              <w:spacing w:line="240" w:lineRule="auto"/>
              <w:ind w:firstLine="0" w:firstLineChars="0"/>
              <w:jc w:val="center"/>
              <w:rPr>
                <w:rFonts w:cs="Times New Roman"/>
                <w:sz w:val="21"/>
                <w:szCs w:val="21"/>
              </w:rPr>
            </w:pPr>
            <w:r>
              <w:rPr>
                <w:rFonts w:cs="Times New Roman"/>
                <w:sz w:val="21"/>
                <w:szCs w:val="21"/>
              </w:rPr>
              <w:t>枣林村</w:t>
            </w:r>
          </w:p>
        </w:tc>
        <w:tc>
          <w:tcPr>
            <w:tcW w:w="716" w:type="pct"/>
          </w:tcPr>
          <w:p>
            <w:pPr>
              <w:spacing w:line="240" w:lineRule="auto"/>
              <w:ind w:firstLine="0" w:firstLineChars="0"/>
              <w:jc w:val="center"/>
              <w:rPr>
                <w:rFonts w:cs="Times New Roman"/>
                <w:sz w:val="21"/>
                <w:szCs w:val="21"/>
              </w:rPr>
            </w:pPr>
            <w:r>
              <w:rPr>
                <w:rFonts w:cs="Times New Roman"/>
                <w:sz w:val="21"/>
                <w:szCs w:val="21"/>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81" w:type="pct"/>
            <w:shd w:val="clear" w:color="auto" w:fill="auto"/>
            <w:noWrap/>
          </w:tcPr>
          <w:p>
            <w:pPr>
              <w:spacing w:line="240" w:lineRule="auto"/>
              <w:ind w:firstLine="0" w:firstLineChars="0"/>
              <w:jc w:val="center"/>
              <w:rPr>
                <w:rFonts w:cs="Times New Roman"/>
                <w:sz w:val="21"/>
                <w:szCs w:val="21"/>
              </w:rPr>
            </w:pPr>
            <w:r>
              <w:rPr>
                <w:rFonts w:cs="Times New Roman"/>
                <w:sz w:val="21"/>
                <w:szCs w:val="21"/>
              </w:rPr>
              <w:t>4</w:t>
            </w:r>
          </w:p>
        </w:tc>
        <w:tc>
          <w:tcPr>
            <w:tcW w:w="579" w:type="pct"/>
            <w:vMerge w:val="continue"/>
            <w:shd w:val="clear" w:color="auto" w:fill="auto"/>
            <w:noWrap/>
            <w:vAlign w:val="center"/>
          </w:tcPr>
          <w:p>
            <w:pPr>
              <w:spacing w:line="240" w:lineRule="auto"/>
              <w:ind w:firstLine="0" w:firstLineChars="0"/>
              <w:jc w:val="center"/>
              <w:rPr>
                <w:rFonts w:cs="Times New Roman"/>
                <w:sz w:val="21"/>
                <w:szCs w:val="21"/>
              </w:rPr>
            </w:pPr>
          </w:p>
        </w:tc>
        <w:tc>
          <w:tcPr>
            <w:tcW w:w="743" w:type="pct"/>
            <w:shd w:val="clear" w:color="auto" w:fill="auto"/>
            <w:noWrap/>
          </w:tcPr>
          <w:p>
            <w:pPr>
              <w:spacing w:line="240" w:lineRule="auto"/>
              <w:ind w:firstLine="0" w:firstLineChars="0"/>
              <w:jc w:val="center"/>
              <w:rPr>
                <w:rFonts w:cs="Times New Roman"/>
                <w:sz w:val="21"/>
                <w:szCs w:val="21"/>
              </w:rPr>
            </w:pPr>
            <w:r>
              <w:rPr>
                <w:rFonts w:cs="Times New Roman"/>
                <w:sz w:val="21"/>
                <w:szCs w:val="21"/>
              </w:rPr>
              <w:t>义门村</w:t>
            </w:r>
          </w:p>
        </w:tc>
        <w:tc>
          <w:tcPr>
            <w:tcW w:w="774" w:type="pct"/>
          </w:tcPr>
          <w:p>
            <w:pPr>
              <w:spacing w:line="240" w:lineRule="auto"/>
              <w:ind w:firstLine="0" w:firstLineChars="0"/>
              <w:jc w:val="center"/>
              <w:rPr>
                <w:rFonts w:cs="Times New Roman"/>
                <w:sz w:val="21"/>
                <w:szCs w:val="21"/>
              </w:rPr>
            </w:pPr>
            <w:r>
              <w:rPr>
                <w:rFonts w:cs="Times New Roman"/>
                <w:sz w:val="21"/>
                <w:szCs w:val="21"/>
              </w:rPr>
              <w:t>900</w:t>
            </w:r>
          </w:p>
        </w:tc>
        <w:tc>
          <w:tcPr>
            <w:tcW w:w="415" w:type="pct"/>
            <w:vAlign w:val="center"/>
          </w:tcPr>
          <w:p>
            <w:pPr>
              <w:spacing w:line="240" w:lineRule="auto"/>
              <w:ind w:firstLine="0" w:firstLineChars="0"/>
              <w:jc w:val="center"/>
              <w:rPr>
                <w:rFonts w:cs="Times New Roman"/>
                <w:sz w:val="21"/>
                <w:szCs w:val="21"/>
              </w:rPr>
            </w:pPr>
            <w:r>
              <w:rPr>
                <w:rFonts w:cs="Times New Roman"/>
                <w:sz w:val="21"/>
                <w:szCs w:val="21"/>
              </w:rPr>
              <w:t>23</w:t>
            </w:r>
          </w:p>
        </w:tc>
        <w:tc>
          <w:tcPr>
            <w:tcW w:w="665" w:type="pct"/>
            <w:vMerge w:val="continue"/>
            <w:vAlign w:val="center"/>
          </w:tcPr>
          <w:p>
            <w:pPr>
              <w:spacing w:line="240" w:lineRule="auto"/>
              <w:ind w:firstLine="420"/>
              <w:jc w:val="center"/>
              <w:rPr>
                <w:rFonts w:cs="Times New Roman"/>
                <w:sz w:val="21"/>
                <w:szCs w:val="21"/>
              </w:rPr>
            </w:pPr>
          </w:p>
        </w:tc>
        <w:tc>
          <w:tcPr>
            <w:tcW w:w="727" w:type="pct"/>
          </w:tcPr>
          <w:p>
            <w:pPr>
              <w:spacing w:line="240" w:lineRule="auto"/>
              <w:ind w:firstLine="0" w:firstLineChars="0"/>
              <w:jc w:val="center"/>
              <w:rPr>
                <w:rFonts w:cs="Times New Roman"/>
                <w:sz w:val="21"/>
                <w:szCs w:val="21"/>
              </w:rPr>
            </w:pPr>
            <w:r>
              <w:rPr>
                <w:rFonts w:cs="Times New Roman"/>
                <w:sz w:val="21"/>
                <w:szCs w:val="21"/>
              </w:rPr>
              <w:t>桥头村</w:t>
            </w:r>
          </w:p>
        </w:tc>
        <w:tc>
          <w:tcPr>
            <w:tcW w:w="716" w:type="pct"/>
          </w:tcPr>
          <w:p>
            <w:pPr>
              <w:spacing w:line="240" w:lineRule="auto"/>
              <w:ind w:firstLine="0" w:firstLineChars="0"/>
              <w:jc w:val="center"/>
              <w:rPr>
                <w:rFonts w:cs="Times New Roman"/>
                <w:sz w:val="21"/>
                <w:szCs w:val="21"/>
              </w:rPr>
            </w:pPr>
            <w:r>
              <w:rPr>
                <w:rFonts w:cs="Times New Roman"/>
                <w:sz w:val="21"/>
                <w:szCs w:val="21"/>
              </w:rPr>
              <w:t>1020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81" w:type="pct"/>
            <w:shd w:val="clear" w:color="auto" w:fill="auto"/>
            <w:noWrap/>
          </w:tcPr>
          <w:p>
            <w:pPr>
              <w:spacing w:line="240" w:lineRule="auto"/>
              <w:ind w:firstLine="0" w:firstLineChars="0"/>
              <w:jc w:val="center"/>
              <w:rPr>
                <w:rFonts w:cs="Times New Roman"/>
                <w:sz w:val="21"/>
                <w:szCs w:val="21"/>
              </w:rPr>
            </w:pPr>
            <w:r>
              <w:rPr>
                <w:rFonts w:cs="Times New Roman"/>
                <w:sz w:val="21"/>
                <w:szCs w:val="21"/>
              </w:rPr>
              <w:t>5</w:t>
            </w:r>
          </w:p>
        </w:tc>
        <w:tc>
          <w:tcPr>
            <w:tcW w:w="579" w:type="pct"/>
            <w:vMerge w:val="continue"/>
            <w:shd w:val="clear" w:color="auto" w:fill="auto"/>
            <w:noWrap/>
            <w:vAlign w:val="center"/>
          </w:tcPr>
          <w:p>
            <w:pPr>
              <w:spacing w:line="240" w:lineRule="auto"/>
              <w:ind w:firstLine="0" w:firstLineChars="0"/>
              <w:jc w:val="center"/>
              <w:rPr>
                <w:rFonts w:cs="Times New Roman"/>
                <w:sz w:val="21"/>
                <w:szCs w:val="21"/>
              </w:rPr>
            </w:pPr>
          </w:p>
        </w:tc>
        <w:tc>
          <w:tcPr>
            <w:tcW w:w="743" w:type="pct"/>
            <w:shd w:val="clear" w:color="auto" w:fill="auto"/>
            <w:noWrap/>
          </w:tcPr>
          <w:p>
            <w:pPr>
              <w:spacing w:line="240" w:lineRule="auto"/>
              <w:ind w:firstLine="0" w:firstLineChars="0"/>
              <w:jc w:val="center"/>
              <w:rPr>
                <w:rFonts w:cs="Times New Roman"/>
                <w:sz w:val="21"/>
                <w:szCs w:val="21"/>
              </w:rPr>
            </w:pPr>
            <w:r>
              <w:rPr>
                <w:rFonts w:cs="Times New Roman"/>
                <w:sz w:val="21"/>
                <w:szCs w:val="21"/>
              </w:rPr>
              <w:t>庙峁村</w:t>
            </w:r>
          </w:p>
        </w:tc>
        <w:tc>
          <w:tcPr>
            <w:tcW w:w="774" w:type="pct"/>
          </w:tcPr>
          <w:p>
            <w:pPr>
              <w:spacing w:line="240" w:lineRule="auto"/>
              <w:ind w:firstLine="0" w:firstLineChars="0"/>
              <w:jc w:val="center"/>
              <w:rPr>
                <w:rFonts w:cs="Times New Roman"/>
                <w:sz w:val="21"/>
                <w:szCs w:val="21"/>
              </w:rPr>
            </w:pPr>
            <w:r>
              <w:rPr>
                <w:rFonts w:cs="Times New Roman"/>
                <w:sz w:val="21"/>
                <w:szCs w:val="21"/>
              </w:rPr>
              <w:t>150</w:t>
            </w:r>
          </w:p>
        </w:tc>
        <w:tc>
          <w:tcPr>
            <w:tcW w:w="415" w:type="pct"/>
            <w:vAlign w:val="center"/>
          </w:tcPr>
          <w:p>
            <w:pPr>
              <w:spacing w:line="240" w:lineRule="auto"/>
              <w:ind w:firstLine="0" w:firstLineChars="0"/>
              <w:jc w:val="center"/>
              <w:rPr>
                <w:rFonts w:cs="Times New Roman"/>
                <w:sz w:val="21"/>
                <w:szCs w:val="21"/>
              </w:rPr>
            </w:pPr>
            <w:r>
              <w:rPr>
                <w:rFonts w:cs="Times New Roman"/>
                <w:sz w:val="21"/>
                <w:szCs w:val="21"/>
              </w:rPr>
              <w:t>24</w:t>
            </w:r>
          </w:p>
        </w:tc>
        <w:tc>
          <w:tcPr>
            <w:tcW w:w="665" w:type="pct"/>
            <w:vMerge w:val="continue"/>
            <w:vAlign w:val="center"/>
          </w:tcPr>
          <w:p>
            <w:pPr>
              <w:spacing w:line="240" w:lineRule="auto"/>
              <w:ind w:firstLine="0" w:firstLineChars="0"/>
              <w:jc w:val="center"/>
              <w:rPr>
                <w:rFonts w:cs="Times New Roman"/>
                <w:sz w:val="21"/>
                <w:szCs w:val="21"/>
              </w:rPr>
            </w:pPr>
          </w:p>
        </w:tc>
        <w:tc>
          <w:tcPr>
            <w:tcW w:w="727" w:type="pct"/>
          </w:tcPr>
          <w:p>
            <w:pPr>
              <w:spacing w:line="240" w:lineRule="auto"/>
              <w:ind w:firstLine="0" w:firstLineChars="0"/>
              <w:jc w:val="center"/>
              <w:rPr>
                <w:rFonts w:cs="Times New Roman"/>
                <w:sz w:val="21"/>
                <w:szCs w:val="21"/>
              </w:rPr>
            </w:pPr>
            <w:r>
              <w:rPr>
                <w:rFonts w:cs="Times New Roman"/>
                <w:sz w:val="21"/>
                <w:szCs w:val="21"/>
              </w:rPr>
              <w:t>白家庄村</w:t>
            </w:r>
          </w:p>
        </w:tc>
        <w:tc>
          <w:tcPr>
            <w:tcW w:w="716" w:type="pct"/>
          </w:tcPr>
          <w:p>
            <w:pPr>
              <w:spacing w:line="240" w:lineRule="auto"/>
              <w:ind w:firstLine="0" w:firstLineChars="0"/>
              <w:jc w:val="center"/>
              <w:rPr>
                <w:rFonts w:cs="Times New Roman"/>
                <w:sz w:val="21"/>
                <w:szCs w:val="21"/>
              </w:rPr>
            </w:pPr>
            <w:r>
              <w:rPr>
                <w:rFonts w:cs="Times New Roman"/>
                <w:sz w:val="21"/>
                <w:szCs w:val="21"/>
              </w:rPr>
              <w:t>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81" w:type="pct"/>
            <w:shd w:val="clear" w:color="auto" w:fill="auto"/>
            <w:noWrap/>
          </w:tcPr>
          <w:p>
            <w:pPr>
              <w:spacing w:line="240" w:lineRule="auto"/>
              <w:ind w:firstLine="0" w:firstLineChars="0"/>
              <w:jc w:val="center"/>
              <w:rPr>
                <w:rFonts w:cs="Times New Roman"/>
                <w:sz w:val="21"/>
                <w:szCs w:val="21"/>
              </w:rPr>
            </w:pPr>
            <w:r>
              <w:rPr>
                <w:rFonts w:cs="Times New Roman"/>
                <w:sz w:val="21"/>
                <w:szCs w:val="21"/>
              </w:rPr>
              <w:t>6</w:t>
            </w:r>
          </w:p>
        </w:tc>
        <w:tc>
          <w:tcPr>
            <w:tcW w:w="579" w:type="pct"/>
            <w:vMerge w:val="restar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743" w:type="pct"/>
            <w:shd w:val="clear" w:color="auto" w:fill="auto"/>
            <w:noWrap/>
          </w:tcPr>
          <w:p>
            <w:pPr>
              <w:spacing w:line="240" w:lineRule="auto"/>
              <w:ind w:firstLine="0" w:firstLineChars="0"/>
              <w:jc w:val="center"/>
              <w:rPr>
                <w:rFonts w:cs="Times New Roman"/>
                <w:sz w:val="21"/>
                <w:szCs w:val="21"/>
              </w:rPr>
            </w:pPr>
            <w:r>
              <w:rPr>
                <w:rFonts w:cs="Times New Roman"/>
                <w:sz w:val="21"/>
                <w:szCs w:val="21"/>
              </w:rPr>
              <w:t>铁匠铺村</w:t>
            </w:r>
          </w:p>
        </w:tc>
        <w:tc>
          <w:tcPr>
            <w:tcW w:w="774" w:type="pct"/>
          </w:tcPr>
          <w:p>
            <w:pPr>
              <w:spacing w:line="240" w:lineRule="auto"/>
              <w:ind w:firstLine="0" w:firstLineChars="0"/>
              <w:jc w:val="center"/>
              <w:rPr>
                <w:rFonts w:cs="Times New Roman"/>
                <w:sz w:val="21"/>
                <w:szCs w:val="21"/>
              </w:rPr>
            </w:pPr>
            <w:r>
              <w:rPr>
                <w:rFonts w:cs="Times New Roman"/>
                <w:sz w:val="21"/>
                <w:szCs w:val="21"/>
              </w:rPr>
              <w:t>1800</w:t>
            </w:r>
          </w:p>
        </w:tc>
        <w:tc>
          <w:tcPr>
            <w:tcW w:w="415" w:type="pct"/>
            <w:vAlign w:val="center"/>
          </w:tcPr>
          <w:p>
            <w:pPr>
              <w:spacing w:line="240" w:lineRule="auto"/>
              <w:ind w:firstLine="0" w:firstLineChars="0"/>
              <w:jc w:val="center"/>
              <w:rPr>
                <w:rFonts w:cs="Times New Roman"/>
                <w:sz w:val="21"/>
                <w:szCs w:val="21"/>
              </w:rPr>
            </w:pPr>
            <w:r>
              <w:rPr>
                <w:rFonts w:cs="Times New Roman"/>
                <w:sz w:val="21"/>
                <w:szCs w:val="21"/>
              </w:rPr>
              <w:t>25</w:t>
            </w:r>
          </w:p>
        </w:tc>
        <w:tc>
          <w:tcPr>
            <w:tcW w:w="665" w:type="pct"/>
            <w:vMerge w:val="continue"/>
            <w:vAlign w:val="center"/>
          </w:tcPr>
          <w:p>
            <w:pPr>
              <w:spacing w:line="240" w:lineRule="auto"/>
              <w:ind w:firstLine="0" w:firstLineChars="0"/>
              <w:jc w:val="center"/>
              <w:rPr>
                <w:rFonts w:cs="Times New Roman"/>
                <w:sz w:val="21"/>
                <w:szCs w:val="21"/>
              </w:rPr>
            </w:pPr>
          </w:p>
        </w:tc>
        <w:tc>
          <w:tcPr>
            <w:tcW w:w="727" w:type="pct"/>
          </w:tcPr>
          <w:p>
            <w:pPr>
              <w:spacing w:line="240" w:lineRule="auto"/>
              <w:ind w:firstLine="0" w:firstLineChars="0"/>
              <w:jc w:val="center"/>
              <w:rPr>
                <w:rFonts w:cs="Times New Roman"/>
                <w:sz w:val="21"/>
                <w:szCs w:val="21"/>
              </w:rPr>
            </w:pPr>
            <w:r>
              <w:rPr>
                <w:rFonts w:cs="Times New Roman"/>
                <w:sz w:val="21"/>
                <w:szCs w:val="21"/>
              </w:rPr>
              <w:t>石棱湾村</w:t>
            </w:r>
          </w:p>
        </w:tc>
        <w:tc>
          <w:tcPr>
            <w:tcW w:w="716" w:type="pct"/>
          </w:tcPr>
          <w:p>
            <w:pPr>
              <w:spacing w:line="240" w:lineRule="auto"/>
              <w:ind w:firstLine="0" w:firstLineChars="0"/>
              <w:jc w:val="center"/>
              <w:rPr>
                <w:rFonts w:cs="Times New Roman"/>
                <w:sz w:val="21"/>
                <w:szCs w:val="21"/>
              </w:rPr>
            </w:pPr>
            <w:r>
              <w:rPr>
                <w:rFonts w:cs="Times New Roman"/>
                <w:sz w:val="21"/>
                <w:szCs w:val="21"/>
              </w:rPr>
              <w:t>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81" w:type="pct"/>
            <w:shd w:val="clear" w:color="auto" w:fill="auto"/>
            <w:noWrap/>
          </w:tcPr>
          <w:p>
            <w:pPr>
              <w:spacing w:line="240" w:lineRule="auto"/>
              <w:ind w:firstLine="0" w:firstLineChars="0"/>
              <w:jc w:val="center"/>
              <w:rPr>
                <w:rFonts w:cs="Times New Roman"/>
                <w:sz w:val="21"/>
                <w:szCs w:val="21"/>
              </w:rPr>
            </w:pPr>
            <w:r>
              <w:rPr>
                <w:rFonts w:cs="Times New Roman"/>
                <w:sz w:val="21"/>
                <w:szCs w:val="21"/>
              </w:rPr>
              <w:t>7</w:t>
            </w:r>
          </w:p>
        </w:tc>
        <w:tc>
          <w:tcPr>
            <w:tcW w:w="579" w:type="pct"/>
            <w:vMerge w:val="continue"/>
            <w:shd w:val="clear" w:color="auto" w:fill="auto"/>
            <w:noWrap/>
            <w:vAlign w:val="center"/>
          </w:tcPr>
          <w:p>
            <w:pPr>
              <w:spacing w:line="240" w:lineRule="auto"/>
              <w:ind w:firstLine="0" w:firstLineChars="0"/>
              <w:jc w:val="center"/>
              <w:rPr>
                <w:rFonts w:cs="Times New Roman"/>
                <w:sz w:val="21"/>
                <w:szCs w:val="21"/>
              </w:rPr>
            </w:pPr>
          </w:p>
        </w:tc>
        <w:tc>
          <w:tcPr>
            <w:tcW w:w="743" w:type="pct"/>
            <w:shd w:val="clear" w:color="auto" w:fill="auto"/>
            <w:noWrap/>
          </w:tcPr>
          <w:p>
            <w:pPr>
              <w:spacing w:line="240" w:lineRule="auto"/>
              <w:ind w:firstLine="0" w:firstLineChars="0"/>
              <w:jc w:val="center"/>
              <w:rPr>
                <w:rFonts w:cs="Times New Roman"/>
                <w:sz w:val="21"/>
                <w:szCs w:val="21"/>
              </w:rPr>
            </w:pPr>
            <w:r>
              <w:rPr>
                <w:rFonts w:cs="Times New Roman"/>
                <w:sz w:val="21"/>
                <w:szCs w:val="21"/>
              </w:rPr>
              <w:t>郭家滩村</w:t>
            </w:r>
          </w:p>
        </w:tc>
        <w:tc>
          <w:tcPr>
            <w:tcW w:w="774" w:type="pct"/>
          </w:tcPr>
          <w:p>
            <w:pPr>
              <w:spacing w:line="240" w:lineRule="auto"/>
              <w:ind w:firstLine="0" w:firstLineChars="0"/>
              <w:jc w:val="center"/>
              <w:rPr>
                <w:rFonts w:cs="Times New Roman"/>
                <w:sz w:val="21"/>
                <w:szCs w:val="21"/>
              </w:rPr>
            </w:pPr>
            <w:r>
              <w:rPr>
                <w:rFonts w:cs="Times New Roman"/>
                <w:sz w:val="21"/>
                <w:szCs w:val="21"/>
              </w:rPr>
              <w:t>5800</w:t>
            </w:r>
          </w:p>
        </w:tc>
        <w:tc>
          <w:tcPr>
            <w:tcW w:w="415" w:type="pct"/>
            <w:vAlign w:val="center"/>
          </w:tcPr>
          <w:p>
            <w:pPr>
              <w:spacing w:line="240" w:lineRule="auto"/>
              <w:ind w:firstLine="0" w:firstLineChars="0"/>
              <w:jc w:val="center"/>
              <w:rPr>
                <w:rFonts w:cs="Times New Roman"/>
                <w:sz w:val="21"/>
                <w:szCs w:val="21"/>
              </w:rPr>
            </w:pPr>
            <w:r>
              <w:rPr>
                <w:rFonts w:cs="Times New Roman"/>
                <w:sz w:val="21"/>
                <w:szCs w:val="21"/>
              </w:rPr>
              <w:t>26</w:t>
            </w:r>
          </w:p>
        </w:tc>
        <w:tc>
          <w:tcPr>
            <w:tcW w:w="665" w:type="pct"/>
            <w:vMerge w:val="continue"/>
            <w:vAlign w:val="center"/>
          </w:tcPr>
          <w:p>
            <w:pPr>
              <w:spacing w:line="240" w:lineRule="auto"/>
              <w:ind w:firstLine="0" w:firstLineChars="0"/>
              <w:jc w:val="center"/>
              <w:rPr>
                <w:rFonts w:cs="Times New Roman"/>
                <w:sz w:val="21"/>
                <w:szCs w:val="21"/>
              </w:rPr>
            </w:pPr>
          </w:p>
        </w:tc>
        <w:tc>
          <w:tcPr>
            <w:tcW w:w="727" w:type="pct"/>
          </w:tcPr>
          <w:p>
            <w:pPr>
              <w:spacing w:line="240" w:lineRule="auto"/>
              <w:ind w:firstLine="0" w:firstLineChars="0"/>
              <w:jc w:val="center"/>
              <w:rPr>
                <w:rFonts w:cs="Times New Roman"/>
                <w:sz w:val="21"/>
                <w:szCs w:val="21"/>
              </w:rPr>
            </w:pPr>
            <w:r>
              <w:rPr>
                <w:rFonts w:cs="Times New Roman"/>
                <w:sz w:val="21"/>
                <w:szCs w:val="21"/>
              </w:rPr>
              <w:t>夏柳青村</w:t>
            </w:r>
          </w:p>
        </w:tc>
        <w:tc>
          <w:tcPr>
            <w:tcW w:w="716" w:type="pct"/>
          </w:tcPr>
          <w:p>
            <w:pPr>
              <w:spacing w:line="240" w:lineRule="auto"/>
              <w:ind w:firstLine="0" w:firstLineChars="0"/>
              <w:jc w:val="center"/>
              <w:rPr>
                <w:rFonts w:cs="Times New Roman"/>
                <w:sz w:val="21"/>
                <w:szCs w:val="21"/>
              </w:rPr>
            </w:pPr>
            <w:r>
              <w:rPr>
                <w:rFonts w:cs="Times New Roman"/>
                <w:sz w:val="21"/>
                <w:szCs w:val="21"/>
              </w:rPr>
              <w:t>620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81" w:type="pct"/>
            <w:shd w:val="clear" w:color="auto" w:fill="auto"/>
            <w:noWrap/>
          </w:tcPr>
          <w:p>
            <w:pPr>
              <w:spacing w:line="240" w:lineRule="auto"/>
              <w:ind w:firstLine="0" w:firstLineChars="0"/>
              <w:jc w:val="center"/>
              <w:rPr>
                <w:rFonts w:cs="Times New Roman"/>
                <w:sz w:val="21"/>
                <w:szCs w:val="21"/>
              </w:rPr>
            </w:pPr>
            <w:r>
              <w:rPr>
                <w:rFonts w:cs="Times New Roman"/>
                <w:sz w:val="21"/>
                <w:szCs w:val="21"/>
              </w:rPr>
              <w:t>8</w:t>
            </w:r>
          </w:p>
        </w:tc>
        <w:tc>
          <w:tcPr>
            <w:tcW w:w="579" w:type="pct"/>
            <w:vMerge w:val="continue"/>
            <w:shd w:val="clear" w:color="auto" w:fill="auto"/>
            <w:noWrap/>
            <w:vAlign w:val="center"/>
          </w:tcPr>
          <w:p>
            <w:pPr>
              <w:spacing w:line="240" w:lineRule="auto"/>
              <w:ind w:firstLine="0" w:firstLineChars="0"/>
              <w:jc w:val="center"/>
              <w:rPr>
                <w:rFonts w:cs="Times New Roman"/>
                <w:sz w:val="21"/>
                <w:szCs w:val="21"/>
              </w:rPr>
            </w:pPr>
          </w:p>
        </w:tc>
        <w:tc>
          <w:tcPr>
            <w:tcW w:w="743" w:type="pct"/>
            <w:shd w:val="clear" w:color="auto" w:fill="auto"/>
            <w:noWrap/>
          </w:tcPr>
          <w:p>
            <w:pPr>
              <w:spacing w:line="240" w:lineRule="auto"/>
              <w:ind w:firstLine="0" w:firstLineChars="0"/>
              <w:jc w:val="center"/>
              <w:rPr>
                <w:rFonts w:cs="Times New Roman"/>
                <w:sz w:val="21"/>
                <w:szCs w:val="21"/>
              </w:rPr>
            </w:pPr>
            <w:r>
              <w:rPr>
                <w:rFonts w:cs="Times New Roman"/>
                <w:sz w:val="21"/>
                <w:szCs w:val="21"/>
              </w:rPr>
              <w:t>马家洼村</w:t>
            </w:r>
          </w:p>
        </w:tc>
        <w:tc>
          <w:tcPr>
            <w:tcW w:w="774" w:type="pct"/>
          </w:tcPr>
          <w:p>
            <w:pPr>
              <w:spacing w:line="240" w:lineRule="auto"/>
              <w:ind w:firstLine="0" w:firstLineChars="0"/>
              <w:jc w:val="center"/>
              <w:rPr>
                <w:rFonts w:cs="Times New Roman"/>
                <w:sz w:val="21"/>
                <w:szCs w:val="21"/>
              </w:rPr>
            </w:pPr>
            <w:r>
              <w:rPr>
                <w:rFonts w:cs="Times New Roman"/>
                <w:sz w:val="21"/>
                <w:szCs w:val="21"/>
              </w:rPr>
              <w:t>550</w:t>
            </w:r>
          </w:p>
        </w:tc>
        <w:tc>
          <w:tcPr>
            <w:tcW w:w="415" w:type="pct"/>
            <w:vAlign w:val="center"/>
          </w:tcPr>
          <w:p>
            <w:pPr>
              <w:spacing w:line="240" w:lineRule="auto"/>
              <w:ind w:firstLine="0" w:firstLineChars="0"/>
              <w:jc w:val="center"/>
              <w:rPr>
                <w:rFonts w:cs="Times New Roman"/>
                <w:sz w:val="21"/>
                <w:szCs w:val="21"/>
              </w:rPr>
            </w:pPr>
            <w:r>
              <w:rPr>
                <w:rFonts w:cs="Times New Roman"/>
                <w:sz w:val="21"/>
                <w:szCs w:val="21"/>
              </w:rPr>
              <w:t>27</w:t>
            </w:r>
          </w:p>
        </w:tc>
        <w:tc>
          <w:tcPr>
            <w:tcW w:w="665" w:type="pct"/>
            <w:vMerge w:val="restart"/>
            <w:vAlign w:val="center"/>
          </w:tcPr>
          <w:p>
            <w:pPr>
              <w:spacing w:line="240" w:lineRule="auto"/>
              <w:ind w:firstLine="0" w:firstLineChars="0"/>
              <w:jc w:val="center"/>
              <w:rPr>
                <w:rFonts w:cs="Times New Roman"/>
                <w:sz w:val="21"/>
                <w:szCs w:val="21"/>
              </w:rPr>
            </w:pPr>
            <w:r>
              <w:rPr>
                <w:rFonts w:cs="Times New Roman"/>
                <w:sz w:val="21"/>
                <w:szCs w:val="21"/>
              </w:rPr>
              <w:t>韩家川乡</w:t>
            </w:r>
          </w:p>
        </w:tc>
        <w:tc>
          <w:tcPr>
            <w:tcW w:w="727" w:type="pct"/>
          </w:tcPr>
          <w:p>
            <w:pPr>
              <w:spacing w:line="240" w:lineRule="auto"/>
              <w:ind w:firstLine="0" w:firstLineChars="0"/>
              <w:jc w:val="center"/>
              <w:rPr>
                <w:rFonts w:cs="Times New Roman"/>
                <w:sz w:val="21"/>
                <w:szCs w:val="21"/>
              </w:rPr>
            </w:pPr>
            <w:r>
              <w:rPr>
                <w:rFonts w:cs="Times New Roman"/>
                <w:sz w:val="21"/>
                <w:szCs w:val="21"/>
              </w:rPr>
              <w:t>韩家川村</w:t>
            </w:r>
          </w:p>
        </w:tc>
        <w:tc>
          <w:tcPr>
            <w:tcW w:w="716" w:type="pct"/>
          </w:tcPr>
          <w:p>
            <w:pPr>
              <w:spacing w:line="240" w:lineRule="auto"/>
              <w:ind w:firstLine="0" w:firstLineChars="0"/>
              <w:jc w:val="center"/>
              <w:rPr>
                <w:rFonts w:cs="Times New Roman"/>
                <w:sz w:val="21"/>
                <w:szCs w:val="21"/>
              </w:rPr>
            </w:pPr>
            <w:r>
              <w:rPr>
                <w:rFonts w:cs="Times New Roman"/>
                <w:sz w:val="21"/>
                <w:szCs w:val="21"/>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81" w:type="pct"/>
            <w:shd w:val="clear" w:color="auto" w:fill="auto"/>
            <w:noWrap/>
          </w:tcPr>
          <w:p>
            <w:pPr>
              <w:spacing w:line="240" w:lineRule="auto"/>
              <w:ind w:firstLine="0" w:firstLineChars="0"/>
              <w:jc w:val="center"/>
              <w:rPr>
                <w:rFonts w:cs="Times New Roman"/>
                <w:sz w:val="21"/>
                <w:szCs w:val="21"/>
              </w:rPr>
            </w:pPr>
            <w:r>
              <w:rPr>
                <w:rFonts w:cs="Times New Roman"/>
                <w:sz w:val="21"/>
                <w:szCs w:val="21"/>
              </w:rPr>
              <w:t>9</w:t>
            </w:r>
          </w:p>
        </w:tc>
        <w:tc>
          <w:tcPr>
            <w:tcW w:w="579" w:type="pct"/>
            <w:vMerge w:val="continue"/>
            <w:shd w:val="clear" w:color="auto" w:fill="auto"/>
            <w:noWrap/>
            <w:vAlign w:val="center"/>
          </w:tcPr>
          <w:p>
            <w:pPr>
              <w:spacing w:line="240" w:lineRule="auto"/>
              <w:ind w:firstLine="0" w:firstLineChars="0"/>
              <w:jc w:val="center"/>
              <w:rPr>
                <w:rFonts w:cs="Times New Roman"/>
                <w:sz w:val="21"/>
                <w:szCs w:val="21"/>
              </w:rPr>
            </w:pPr>
          </w:p>
        </w:tc>
        <w:tc>
          <w:tcPr>
            <w:tcW w:w="743" w:type="pct"/>
            <w:shd w:val="clear" w:color="auto" w:fill="auto"/>
            <w:noWrap/>
          </w:tcPr>
          <w:p>
            <w:pPr>
              <w:spacing w:line="240" w:lineRule="auto"/>
              <w:ind w:firstLine="0" w:firstLineChars="0"/>
              <w:jc w:val="center"/>
              <w:rPr>
                <w:rFonts w:cs="Times New Roman"/>
                <w:sz w:val="21"/>
                <w:szCs w:val="21"/>
              </w:rPr>
            </w:pPr>
            <w:r>
              <w:rPr>
                <w:rFonts w:cs="Times New Roman"/>
                <w:sz w:val="21"/>
                <w:szCs w:val="21"/>
              </w:rPr>
              <w:t>康家滩村</w:t>
            </w:r>
          </w:p>
        </w:tc>
        <w:tc>
          <w:tcPr>
            <w:tcW w:w="774" w:type="pct"/>
          </w:tcPr>
          <w:p>
            <w:pPr>
              <w:spacing w:line="240" w:lineRule="auto"/>
              <w:ind w:firstLine="0" w:firstLineChars="0"/>
              <w:jc w:val="center"/>
              <w:rPr>
                <w:rFonts w:cs="Times New Roman"/>
                <w:sz w:val="21"/>
                <w:szCs w:val="21"/>
              </w:rPr>
            </w:pPr>
            <w:r>
              <w:rPr>
                <w:rFonts w:cs="Times New Roman"/>
                <w:sz w:val="21"/>
                <w:szCs w:val="21"/>
              </w:rPr>
              <w:t>1150</w:t>
            </w:r>
          </w:p>
        </w:tc>
        <w:tc>
          <w:tcPr>
            <w:tcW w:w="415" w:type="pct"/>
            <w:vAlign w:val="center"/>
          </w:tcPr>
          <w:p>
            <w:pPr>
              <w:spacing w:line="240" w:lineRule="auto"/>
              <w:ind w:firstLine="0" w:firstLineChars="0"/>
              <w:jc w:val="center"/>
              <w:rPr>
                <w:rFonts w:cs="Times New Roman"/>
                <w:sz w:val="21"/>
                <w:szCs w:val="21"/>
              </w:rPr>
            </w:pPr>
            <w:r>
              <w:rPr>
                <w:rFonts w:cs="Times New Roman"/>
                <w:sz w:val="21"/>
                <w:szCs w:val="21"/>
              </w:rPr>
              <w:t>28</w:t>
            </w:r>
          </w:p>
        </w:tc>
        <w:tc>
          <w:tcPr>
            <w:tcW w:w="665" w:type="pct"/>
            <w:vMerge w:val="continue"/>
            <w:vAlign w:val="center"/>
          </w:tcPr>
          <w:p>
            <w:pPr>
              <w:spacing w:line="240" w:lineRule="auto"/>
              <w:ind w:firstLine="0" w:firstLineChars="0"/>
              <w:jc w:val="center"/>
              <w:rPr>
                <w:rFonts w:cs="Times New Roman"/>
                <w:sz w:val="21"/>
                <w:szCs w:val="21"/>
              </w:rPr>
            </w:pPr>
          </w:p>
        </w:tc>
        <w:tc>
          <w:tcPr>
            <w:tcW w:w="727" w:type="pct"/>
          </w:tcPr>
          <w:p>
            <w:pPr>
              <w:spacing w:line="240" w:lineRule="auto"/>
              <w:ind w:firstLine="0" w:firstLineChars="0"/>
              <w:jc w:val="center"/>
              <w:rPr>
                <w:rFonts w:cs="Times New Roman"/>
                <w:sz w:val="21"/>
                <w:szCs w:val="21"/>
              </w:rPr>
            </w:pPr>
            <w:r>
              <w:rPr>
                <w:rFonts w:cs="Times New Roman"/>
                <w:sz w:val="21"/>
                <w:szCs w:val="21"/>
              </w:rPr>
              <w:t>柴加湾村</w:t>
            </w:r>
          </w:p>
        </w:tc>
        <w:tc>
          <w:tcPr>
            <w:tcW w:w="716" w:type="pct"/>
          </w:tcPr>
          <w:p>
            <w:pPr>
              <w:spacing w:line="240" w:lineRule="auto"/>
              <w:ind w:firstLine="0" w:firstLineChars="0"/>
              <w:jc w:val="center"/>
              <w:rPr>
                <w:rFonts w:cs="Times New Roman"/>
                <w:sz w:val="21"/>
                <w:szCs w:val="21"/>
              </w:rPr>
            </w:pPr>
            <w:r>
              <w:rPr>
                <w:rFonts w:cs="Times New Roman"/>
                <w:sz w:val="21"/>
                <w:szCs w:val="21"/>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81" w:type="pct"/>
            <w:shd w:val="clear" w:color="auto" w:fill="auto"/>
            <w:noWrap/>
          </w:tcPr>
          <w:p>
            <w:pPr>
              <w:spacing w:line="240" w:lineRule="auto"/>
              <w:ind w:firstLine="0" w:firstLineChars="0"/>
              <w:jc w:val="center"/>
              <w:rPr>
                <w:rFonts w:cs="Times New Roman"/>
                <w:sz w:val="21"/>
                <w:szCs w:val="21"/>
              </w:rPr>
            </w:pPr>
            <w:r>
              <w:rPr>
                <w:rFonts w:cs="Times New Roman"/>
                <w:sz w:val="21"/>
                <w:szCs w:val="21"/>
              </w:rPr>
              <w:t>10</w:t>
            </w:r>
          </w:p>
        </w:tc>
        <w:tc>
          <w:tcPr>
            <w:tcW w:w="579" w:type="pct"/>
            <w:vMerge w:val="continue"/>
            <w:shd w:val="clear" w:color="auto" w:fill="auto"/>
            <w:noWrap/>
            <w:vAlign w:val="center"/>
          </w:tcPr>
          <w:p>
            <w:pPr>
              <w:spacing w:line="240" w:lineRule="auto"/>
              <w:ind w:firstLine="0" w:firstLineChars="0"/>
              <w:jc w:val="center"/>
              <w:rPr>
                <w:rFonts w:cs="Times New Roman"/>
                <w:sz w:val="21"/>
                <w:szCs w:val="21"/>
              </w:rPr>
            </w:pPr>
          </w:p>
        </w:tc>
        <w:tc>
          <w:tcPr>
            <w:tcW w:w="743" w:type="pct"/>
            <w:shd w:val="clear" w:color="auto" w:fill="auto"/>
            <w:noWrap/>
          </w:tcPr>
          <w:p>
            <w:pPr>
              <w:spacing w:line="240" w:lineRule="auto"/>
              <w:ind w:firstLine="0" w:firstLineChars="0"/>
              <w:jc w:val="center"/>
              <w:rPr>
                <w:rFonts w:cs="Times New Roman"/>
                <w:sz w:val="21"/>
                <w:szCs w:val="21"/>
              </w:rPr>
            </w:pPr>
            <w:r>
              <w:rPr>
                <w:rFonts w:cs="Times New Roman"/>
                <w:sz w:val="21"/>
                <w:szCs w:val="21"/>
              </w:rPr>
              <w:t>王家滩村</w:t>
            </w:r>
          </w:p>
        </w:tc>
        <w:tc>
          <w:tcPr>
            <w:tcW w:w="774" w:type="pct"/>
          </w:tcPr>
          <w:p>
            <w:pPr>
              <w:spacing w:line="240" w:lineRule="auto"/>
              <w:ind w:firstLine="0" w:firstLineChars="0"/>
              <w:jc w:val="center"/>
              <w:rPr>
                <w:rFonts w:cs="Times New Roman"/>
                <w:sz w:val="21"/>
                <w:szCs w:val="21"/>
              </w:rPr>
            </w:pPr>
            <w:r>
              <w:rPr>
                <w:rFonts w:cs="Times New Roman"/>
                <w:sz w:val="21"/>
                <w:szCs w:val="21"/>
              </w:rPr>
              <w:t>2300</w:t>
            </w:r>
          </w:p>
        </w:tc>
        <w:tc>
          <w:tcPr>
            <w:tcW w:w="415" w:type="pct"/>
            <w:vAlign w:val="center"/>
          </w:tcPr>
          <w:p>
            <w:pPr>
              <w:spacing w:line="240" w:lineRule="auto"/>
              <w:ind w:firstLine="0" w:firstLineChars="0"/>
              <w:jc w:val="center"/>
              <w:rPr>
                <w:rFonts w:cs="Times New Roman"/>
                <w:sz w:val="21"/>
                <w:szCs w:val="21"/>
              </w:rPr>
            </w:pPr>
            <w:r>
              <w:rPr>
                <w:rFonts w:cs="Times New Roman"/>
                <w:sz w:val="21"/>
                <w:szCs w:val="21"/>
              </w:rPr>
              <w:t>29</w:t>
            </w:r>
          </w:p>
        </w:tc>
        <w:tc>
          <w:tcPr>
            <w:tcW w:w="665" w:type="pct"/>
            <w:vMerge w:val="restart"/>
            <w:vAlign w:val="center"/>
          </w:tcPr>
          <w:p>
            <w:pPr>
              <w:spacing w:line="240" w:lineRule="auto"/>
              <w:ind w:firstLine="0" w:firstLineChars="0"/>
              <w:jc w:val="center"/>
              <w:rPr>
                <w:rFonts w:cs="Times New Roman"/>
                <w:sz w:val="21"/>
                <w:szCs w:val="21"/>
              </w:rPr>
            </w:pPr>
            <w:r>
              <w:rPr>
                <w:rFonts w:cs="Times New Roman"/>
                <w:sz w:val="21"/>
                <w:szCs w:val="21"/>
              </w:rPr>
              <w:t>林遮峪乡</w:t>
            </w:r>
          </w:p>
        </w:tc>
        <w:tc>
          <w:tcPr>
            <w:tcW w:w="727" w:type="pct"/>
          </w:tcPr>
          <w:p>
            <w:pPr>
              <w:spacing w:line="240" w:lineRule="auto"/>
              <w:ind w:firstLine="0" w:firstLineChars="0"/>
              <w:jc w:val="center"/>
              <w:rPr>
                <w:rFonts w:cs="Times New Roman"/>
                <w:sz w:val="21"/>
                <w:szCs w:val="21"/>
              </w:rPr>
            </w:pPr>
            <w:r>
              <w:rPr>
                <w:rFonts w:cs="Times New Roman"/>
                <w:sz w:val="21"/>
                <w:szCs w:val="21"/>
              </w:rPr>
              <w:t>寨沟村</w:t>
            </w:r>
          </w:p>
        </w:tc>
        <w:tc>
          <w:tcPr>
            <w:tcW w:w="716" w:type="pct"/>
          </w:tcPr>
          <w:p>
            <w:pPr>
              <w:spacing w:line="240" w:lineRule="auto"/>
              <w:ind w:firstLine="0" w:firstLineChars="0"/>
              <w:jc w:val="center"/>
              <w:rPr>
                <w:rFonts w:cs="Times New Roman"/>
                <w:sz w:val="21"/>
                <w:szCs w:val="21"/>
              </w:rPr>
            </w:pPr>
            <w:r>
              <w:rPr>
                <w:rFonts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81"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11</w:t>
            </w:r>
          </w:p>
        </w:tc>
        <w:tc>
          <w:tcPr>
            <w:tcW w:w="579" w:type="pct"/>
            <w:vMerge w:val="continue"/>
            <w:shd w:val="clear" w:color="auto" w:fill="auto"/>
            <w:noWrap/>
            <w:vAlign w:val="center"/>
          </w:tcPr>
          <w:p>
            <w:pPr>
              <w:spacing w:line="240" w:lineRule="auto"/>
              <w:ind w:firstLine="0" w:firstLineChars="0"/>
              <w:jc w:val="center"/>
              <w:rPr>
                <w:rFonts w:cs="Times New Roman"/>
                <w:sz w:val="21"/>
                <w:szCs w:val="21"/>
              </w:rPr>
            </w:pPr>
          </w:p>
        </w:tc>
        <w:tc>
          <w:tcPr>
            <w:tcW w:w="743" w:type="pct"/>
            <w:shd w:val="clear" w:color="auto" w:fill="auto"/>
            <w:noWrap/>
          </w:tcPr>
          <w:p>
            <w:pPr>
              <w:spacing w:line="240" w:lineRule="auto"/>
              <w:ind w:firstLine="0" w:firstLineChars="0"/>
              <w:jc w:val="center"/>
              <w:rPr>
                <w:rFonts w:cs="Times New Roman"/>
                <w:sz w:val="21"/>
                <w:szCs w:val="21"/>
              </w:rPr>
            </w:pPr>
            <w:r>
              <w:rPr>
                <w:rFonts w:cs="Times New Roman"/>
                <w:sz w:val="21"/>
                <w:szCs w:val="21"/>
              </w:rPr>
              <w:t>马家滩村</w:t>
            </w:r>
          </w:p>
        </w:tc>
        <w:tc>
          <w:tcPr>
            <w:tcW w:w="774" w:type="pct"/>
          </w:tcPr>
          <w:p>
            <w:pPr>
              <w:spacing w:line="240" w:lineRule="auto"/>
              <w:ind w:firstLine="0" w:firstLineChars="0"/>
              <w:jc w:val="center"/>
              <w:rPr>
                <w:rFonts w:cs="Times New Roman"/>
                <w:sz w:val="21"/>
                <w:szCs w:val="21"/>
              </w:rPr>
            </w:pPr>
            <w:r>
              <w:rPr>
                <w:rFonts w:cs="Times New Roman"/>
                <w:sz w:val="21"/>
                <w:szCs w:val="21"/>
              </w:rPr>
              <w:t>5600</w:t>
            </w:r>
          </w:p>
        </w:tc>
        <w:tc>
          <w:tcPr>
            <w:tcW w:w="415" w:type="pct"/>
            <w:vAlign w:val="center"/>
          </w:tcPr>
          <w:p>
            <w:pPr>
              <w:spacing w:line="240" w:lineRule="auto"/>
              <w:ind w:firstLine="0" w:firstLineChars="0"/>
              <w:jc w:val="center"/>
              <w:rPr>
                <w:rFonts w:cs="Times New Roman"/>
                <w:sz w:val="21"/>
                <w:szCs w:val="21"/>
              </w:rPr>
            </w:pPr>
            <w:r>
              <w:rPr>
                <w:rFonts w:cs="Times New Roman"/>
                <w:sz w:val="21"/>
                <w:szCs w:val="21"/>
              </w:rPr>
              <w:t>30</w:t>
            </w:r>
          </w:p>
        </w:tc>
        <w:tc>
          <w:tcPr>
            <w:tcW w:w="665" w:type="pct"/>
            <w:vMerge w:val="continue"/>
            <w:vAlign w:val="center"/>
          </w:tcPr>
          <w:p>
            <w:pPr>
              <w:spacing w:line="240" w:lineRule="auto"/>
              <w:ind w:firstLine="0" w:firstLineChars="0"/>
              <w:jc w:val="center"/>
              <w:rPr>
                <w:rFonts w:cs="Times New Roman"/>
                <w:sz w:val="21"/>
                <w:szCs w:val="21"/>
              </w:rPr>
            </w:pPr>
          </w:p>
        </w:tc>
        <w:tc>
          <w:tcPr>
            <w:tcW w:w="727" w:type="pct"/>
          </w:tcPr>
          <w:p>
            <w:pPr>
              <w:spacing w:line="240" w:lineRule="auto"/>
              <w:ind w:firstLine="0" w:firstLineChars="0"/>
              <w:jc w:val="center"/>
              <w:rPr>
                <w:rFonts w:cs="Times New Roman"/>
                <w:sz w:val="21"/>
                <w:szCs w:val="21"/>
              </w:rPr>
            </w:pPr>
            <w:r>
              <w:rPr>
                <w:rFonts w:cs="Times New Roman"/>
                <w:sz w:val="21"/>
                <w:szCs w:val="21"/>
              </w:rPr>
              <w:t>下川坪村</w:t>
            </w:r>
          </w:p>
        </w:tc>
        <w:tc>
          <w:tcPr>
            <w:tcW w:w="716" w:type="pct"/>
          </w:tcPr>
          <w:p>
            <w:pPr>
              <w:spacing w:line="240" w:lineRule="auto"/>
              <w:ind w:firstLine="0" w:firstLineChars="0"/>
              <w:jc w:val="center"/>
              <w:rPr>
                <w:rFonts w:cs="Times New Roman"/>
                <w:sz w:val="21"/>
                <w:szCs w:val="21"/>
              </w:rPr>
            </w:pPr>
            <w:r>
              <w:rPr>
                <w:rFonts w:cs="Times New Roman"/>
                <w:sz w:val="21"/>
                <w:szCs w:val="21"/>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81"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12</w:t>
            </w:r>
          </w:p>
        </w:tc>
        <w:tc>
          <w:tcPr>
            <w:tcW w:w="579" w:type="pct"/>
            <w:vMerge w:val="continue"/>
            <w:shd w:val="clear" w:color="auto" w:fill="auto"/>
            <w:noWrap/>
            <w:vAlign w:val="center"/>
          </w:tcPr>
          <w:p>
            <w:pPr>
              <w:spacing w:line="240" w:lineRule="auto"/>
              <w:ind w:firstLine="0" w:firstLineChars="0"/>
              <w:jc w:val="center"/>
              <w:rPr>
                <w:rFonts w:cs="Times New Roman"/>
                <w:sz w:val="21"/>
                <w:szCs w:val="21"/>
              </w:rPr>
            </w:pPr>
          </w:p>
        </w:tc>
        <w:tc>
          <w:tcPr>
            <w:tcW w:w="743" w:type="pct"/>
            <w:shd w:val="clear" w:color="auto" w:fill="auto"/>
            <w:noWrap/>
          </w:tcPr>
          <w:p>
            <w:pPr>
              <w:spacing w:line="240" w:lineRule="auto"/>
              <w:ind w:firstLine="0" w:firstLineChars="0"/>
              <w:jc w:val="center"/>
              <w:rPr>
                <w:rFonts w:cs="Times New Roman"/>
                <w:sz w:val="21"/>
                <w:szCs w:val="21"/>
              </w:rPr>
            </w:pPr>
            <w:r>
              <w:rPr>
                <w:rFonts w:hint="eastAsia" w:cs="Times New Roman"/>
                <w:sz w:val="21"/>
                <w:szCs w:val="21"/>
              </w:rPr>
              <w:t>张家圪坨村</w:t>
            </w:r>
          </w:p>
        </w:tc>
        <w:tc>
          <w:tcPr>
            <w:tcW w:w="774" w:type="pct"/>
          </w:tcPr>
          <w:p>
            <w:pPr>
              <w:spacing w:line="240" w:lineRule="auto"/>
              <w:ind w:firstLine="0" w:firstLineChars="0"/>
              <w:jc w:val="center"/>
              <w:rPr>
                <w:rFonts w:cs="Times New Roman"/>
                <w:sz w:val="21"/>
                <w:szCs w:val="21"/>
              </w:rPr>
            </w:pPr>
            <w:r>
              <w:rPr>
                <w:rFonts w:cs="Times New Roman"/>
                <w:sz w:val="21"/>
                <w:szCs w:val="21"/>
              </w:rPr>
              <w:t>690</w:t>
            </w:r>
          </w:p>
        </w:tc>
        <w:tc>
          <w:tcPr>
            <w:tcW w:w="415" w:type="pct"/>
            <w:vAlign w:val="center"/>
          </w:tcPr>
          <w:p>
            <w:pPr>
              <w:spacing w:line="240" w:lineRule="auto"/>
              <w:ind w:firstLine="0" w:firstLineChars="0"/>
              <w:jc w:val="center"/>
              <w:rPr>
                <w:rFonts w:cs="Times New Roman"/>
                <w:sz w:val="21"/>
                <w:szCs w:val="21"/>
              </w:rPr>
            </w:pPr>
            <w:r>
              <w:rPr>
                <w:rFonts w:cs="Times New Roman"/>
                <w:sz w:val="21"/>
                <w:szCs w:val="21"/>
              </w:rPr>
              <w:t>31</w:t>
            </w:r>
          </w:p>
        </w:tc>
        <w:tc>
          <w:tcPr>
            <w:tcW w:w="665" w:type="pct"/>
            <w:vMerge w:val="continue"/>
            <w:vAlign w:val="center"/>
          </w:tcPr>
          <w:p>
            <w:pPr>
              <w:spacing w:line="240" w:lineRule="auto"/>
              <w:ind w:firstLine="21" w:firstLineChars="10"/>
              <w:jc w:val="center"/>
              <w:rPr>
                <w:rFonts w:cs="Times New Roman"/>
                <w:sz w:val="21"/>
                <w:szCs w:val="21"/>
              </w:rPr>
            </w:pPr>
          </w:p>
        </w:tc>
        <w:tc>
          <w:tcPr>
            <w:tcW w:w="727" w:type="pct"/>
          </w:tcPr>
          <w:p>
            <w:pPr>
              <w:spacing w:line="240" w:lineRule="auto"/>
              <w:ind w:firstLine="0" w:firstLineChars="0"/>
              <w:jc w:val="center"/>
              <w:rPr>
                <w:rFonts w:cs="Times New Roman"/>
                <w:sz w:val="21"/>
                <w:szCs w:val="21"/>
              </w:rPr>
            </w:pPr>
            <w:r>
              <w:rPr>
                <w:rFonts w:cs="Times New Roman"/>
                <w:sz w:val="21"/>
                <w:szCs w:val="21"/>
              </w:rPr>
              <w:t>林遮峪村</w:t>
            </w:r>
          </w:p>
        </w:tc>
        <w:tc>
          <w:tcPr>
            <w:tcW w:w="716" w:type="pct"/>
          </w:tcPr>
          <w:p>
            <w:pPr>
              <w:spacing w:line="240" w:lineRule="auto"/>
              <w:ind w:firstLine="0" w:firstLineChars="0"/>
              <w:jc w:val="center"/>
              <w:rPr>
                <w:rFonts w:cs="Times New Roman"/>
                <w:sz w:val="21"/>
                <w:szCs w:val="21"/>
              </w:rPr>
            </w:pPr>
            <w:r>
              <w:rPr>
                <w:rFonts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81"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13</w:t>
            </w:r>
          </w:p>
        </w:tc>
        <w:tc>
          <w:tcPr>
            <w:tcW w:w="579" w:type="pct"/>
            <w:vMerge w:val="continue"/>
            <w:shd w:val="clear" w:color="auto" w:fill="auto"/>
            <w:noWrap/>
            <w:vAlign w:val="center"/>
          </w:tcPr>
          <w:p>
            <w:pPr>
              <w:spacing w:line="240" w:lineRule="auto"/>
              <w:ind w:firstLine="0" w:firstLineChars="0"/>
              <w:jc w:val="center"/>
              <w:rPr>
                <w:rFonts w:cs="Times New Roman"/>
                <w:sz w:val="21"/>
                <w:szCs w:val="21"/>
              </w:rPr>
            </w:pPr>
          </w:p>
        </w:tc>
        <w:tc>
          <w:tcPr>
            <w:tcW w:w="743" w:type="pct"/>
            <w:shd w:val="clear" w:color="auto" w:fill="auto"/>
            <w:noWrap/>
          </w:tcPr>
          <w:p>
            <w:pPr>
              <w:spacing w:line="240" w:lineRule="auto"/>
              <w:ind w:firstLine="0" w:firstLineChars="0"/>
              <w:jc w:val="center"/>
              <w:rPr>
                <w:rFonts w:cs="Times New Roman"/>
                <w:sz w:val="21"/>
                <w:szCs w:val="21"/>
              </w:rPr>
            </w:pPr>
            <w:r>
              <w:rPr>
                <w:rFonts w:cs="Times New Roman"/>
                <w:sz w:val="21"/>
                <w:szCs w:val="21"/>
              </w:rPr>
              <w:t>庙梁村</w:t>
            </w:r>
          </w:p>
        </w:tc>
        <w:tc>
          <w:tcPr>
            <w:tcW w:w="774" w:type="pct"/>
          </w:tcPr>
          <w:p>
            <w:pPr>
              <w:spacing w:line="240" w:lineRule="auto"/>
              <w:ind w:firstLine="0" w:firstLineChars="0"/>
              <w:jc w:val="center"/>
              <w:rPr>
                <w:rFonts w:cs="Times New Roman"/>
                <w:sz w:val="21"/>
                <w:szCs w:val="21"/>
              </w:rPr>
            </w:pPr>
            <w:r>
              <w:rPr>
                <w:rFonts w:cs="Times New Roman"/>
                <w:sz w:val="21"/>
                <w:szCs w:val="21"/>
              </w:rPr>
              <w:t>768</w:t>
            </w:r>
          </w:p>
        </w:tc>
        <w:tc>
          <w:tcPr>
            <w:tcW w:w="415" w:type="pct"/>
            <w:vAlign w:val="center"/>
          </w:tcPr>
          <w:p>
            <w:pPr>
              <w:spacing w:line="240" w:lineRule="auto"/>
              <w:ind w:firstLine="0" w:firstLineChars="0"/>
              <w:jc w:val="center"/>
              <w:rPr>
                <w:rFonts w:cs="Times New Roman"/>
                <w:sz w:val="21"/>
                <w:szCs w:val="21"/>
              </w:rPr>
            </w:pPr>
            <w:r>
              <w:rPr>
                <w:rFonts w:cs="Times New Roman"/>
                <w:sz w:val="21"/>
                <w:szCs w:val="21"/>
              </w:rPr>
              <w:t>32</w:t>
            </w:r>
          </w:p>
        </w:tc>
        <w:tc>
          <w:tcPr>
            <w:tcW w:w="665" w:type="pct"/>
            <w:vMerge w:val="restart"/>
            <w:vAlign w:val="center"/>
          </w:tcPr>
          <w:p>
            <w:pPr>
              <w:spacing w:line="240" w:lineRule="auto"/>
              <w:ind w:firstLine="0" w:firstLineChars="0"/>
              <w:jc w:val="center"/>
              <w:rPr>
                <w:rFonts w:cs="Times New Roman"/>
                <w:sz w:val="21"/>
                <w:szCs w:val="21"/>
              </w:rPr>
            </w:pPr>
            <w:r>
              <w:rPr>
                <w:rFonts w:cs="Times New Roman"/>
                <w:sz w:val="21"/>
                <w:szCs w:val="21"/>
              </w:rPr>
              <w:t>冯家川乡</w:t>
            </w:r>
          </w:p>
        </w:tc>
        <w:tc>
          <w:tcPr>
            <w:tcW w:w="727" w:type="pct"/>
          </w:tcPr>
          <w:p>
            <w:pPr>
              <w:spacing w:line="240" w:lineRule="auto"/>
              <w:ind w:firstLine="0" w:firstLineChars="0"/>
              <w:jc w:val="center"/>
              <w:rPr>
                <w:rFonts w:cs="Times New Roman"/>
                <w:sz w:val="21"/>
                <w:szCs w:val="21"/>
              </w:rPr>
            </w:pPr>
            <w:r>
              <w:rPr>
                <w:rFonts w:cs="Times New Roman"/>
                <w:sz w:val="21"/>
                <w:szCs w:val="21"/>
              </w:rPr>
              <w:t>神山村</w:t>
            </w:r>
          </w:p>
        </w:tc>
        <w:tc>
          <w:tcPr>
            <w:tcW w:w="716" w:type="pct"/>
          </w:tcPr>
          <w:p>
            <w:pPr>
              <w:spacing w:line="240" w:lineRule="auto"/>
              <w:ind w:firstLine="0" w:firstLineChars="0"/>
              <w:jc w:val="center"/>
              <w:rPr>
                <w:rFonts w:cs="Times New Roman"/>
                <w:sz w:val="21"/>
                <w:szCs w:val="21"/>
              </w:rPr>
            </w:pPr>
            <w:r>
              <w:rPr>
                <w:rFonts w:cs="Times New Roman"/>
                <w:sz w:val="21"/>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81"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14</w:t>
            </w:r>
          </w:p>
        </w:tc>
        <w:tc>
          <w:tcPr>
            <w:tcW w:w="579" w:type="pct"/>
            <w:vMerge w:val="restar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杨家湾镇</w:t>
            </w:r>
          </w:p>
        </w:tc>
        <w:tc>
          <w:tcPr>
            <w:tcW w:w="743"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花园村</w:t>
            </w:r>
          </w:p>
        </w:tc>
        <w:tc>
          <w:tcPr>
            <w:tcW w:w="774" w:type="pct"/>
            <w:vAlign w:val="center"/>
          </w:tcPr>
          <w:p>
            <w:pPr>
              <w:spacing w:line="240" w:lineRule="auto"/>
              <w:ind w:firstLine="0" w:firstLineChars="0"/>
              <w:jc w:val="center"/>
              <w:rPr>
                <w:rFonts w:cs="Times New Roman"/>
                <w:sz w:val="21"/>
                <w:szCs w:val="21"/>
              </w:rPr>
            </w:pPr>
            <w:r>
              <w:rPr>
                <w:rFonts w:cs="Times New Roman"/>
                <w:sz w:val="21"/>
                <w:szCs w:val="21"/>
              </w:rPr>
              <w:t>400</w:t>
            </w:r>
          </w:p>
        </w:tc>
        <w:tc>
          <w:tcPr>
            <w:tcW w:w="415" w:type="pct"/>
            <w:vAlign w:val="center"/>
          </w:tcPr>
          <w:p>
            <w:pPr>
              <w:spacing w:line="240" w:lineRule="auto"/>
              <w:ind w:firstLine="0" w:firstLineChars="0"/>
              <w:jc w:val="center"/>
              <w:rPr>
                <w:rFonts w:cs="Times New Roman"/>
                <w:sz w:val="21"/>
                <w:szCs w:val="21"/>
              </w:rPr>
            </w:pPr>
            <w:r>
              <w:rPr>
                <w:rFonts w:cs="Times New Roman"/>
                <w:sz w:val="21"/>
                <w:szCs w:val="21"/>
              </w:rPr>
              <w:t>33</w:t>
            </w:r>
          </w:p>
        </w:tc>
        <w:tc>
          <w:tcPr>
            <w:tcW w:w="665" w:type="pct"/>
            <w:vMerge w:val="continue"/>
            <w:vAlign w:val="center"/>
          </w:tcPr>
          <w:p>
            <w:pPr>
              <w:spacing w:line="240" w:lineRule="auto"/>
              <w:ind w:firstLine="0" w:firstLineChars="0"/>
              <w:jc w:val="center"/>
              <w:rPr>
                <w:rFonts w:cs="Times New Roman"/>
                <w:sz w:val="21"/>
                <w:szCs w:val="21"/>
              </w:rPr>
            </w:pPr>
          </w:p>
        </w:tc>
        <w:tc>
          <w:tcPr>
            <w:tcW w:w="727" w:type="pct"/>
          </w:tcPr>
          <w:p>
            <w:pPr>
              <w:spacing w:line="240" w:lineRule="auto"/>
              <w:ind w:firstLine="0" w:firstLineChars="0"/>
              <w:jc w:val="center"/>
              <w:rPr>
                <w:rFonts w:cs="Times New Roman"/>
                <w:sz w:val="21"/>
                <w:szCs w:val="21"/>
              </w:rPr>
            </w:pPr>
            <w:r>
              <w:rPr>
                <w:rFonts w:cs="Times New Roman"/>
                <w:sz w:val="21"/>
                <w:szCs w:val="21"/>
              </w:rPr>
              <w:t>冯家川村</w:t>
            </w:r>
          </w:p>
        </w:tc>
        <w:tc>
          <w:tcPr>
            <w:tcW w:w="716" w:type="pct"/>
          </w:tcPr>
          <w:p>
            <w:pPr>
              <w:spacing w:line="240" w:lineRule="auto"/>
              <w:ind w:firstLine="0" w:firstLineChars="0"/>
              <w:jc w:val="center"/>
              <w:rPr>
                <w:rFonts w:cs="Times New Roman"/>
                <w:sz w:val="21"/>
                <w:szCs w:val="21"/>
              </w:rPr>
            </w:pPr>
            <w:r>
              <w:rPr>
                <w:rFonts w:cs="Times New Roman"/>
                <w:sz w:val="21"/>
                <w:szCs w:val="21"/>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81"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15</w:t>
            </w:r>
          </w:p>
        </w:tc>
        <w:tc>
          <w:tcPr>
            <w:tcW w:w="579" w:type="pct"/>
            <w:vMerge w:val="continue"/>
            <w:shd w:val="clear" w:color="auto" w:fill="auto"/>
            <w:noWrap/>
            <w:vAlign w:val="center"/>
          </w:tcPr>
          <w:p>
            <w:pPr>
              <w:spacing w:line="240" w:lineRule="auto"/>
              <w:ind w:firstLine="0" w:firstLineChars="0"/>
              <w:jc w:val="center"/>
              <w:rPr>
                <w:rFonts w:cs="Times New Roman"/>
                <w:sz w:val="21"/>
                <w:szCs w:val="21"/>
              </w:rPr>
            </w:pPr>
          </w:p>
        </w:tc>
        <w:tc>
          <w:tcPr>
            <w:tcW w:w="743"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前会村</w:t>
            </w:r>
          </w:p>
        </w:tc>
        <w:tc>
          <w:tcPr>
            <w:tcW w:w="774" w:type="pct"/>
            <w:vAlign w:val="center"/>
          </w:tcPr>
          <w:p>
            <w:pPr>
              <w:spacing w:line="240" w:lineRule="auto"/>
              <w:ind w:firstLine="0" w:firstLineChars="0"/>
              <w:jc w:val="center"/>
              <w:rPr>
                <w:rFonts w:cs="Times New Roman"/>
                <w:sz w:val="21"/>
                <w:szCs w:val="21"/>
              </w:rPr>
            </w:pPr>
            <w:r>
              <w:rPr>
                <w:rFonts w:cs="Times New Roman"/>
                <w:sz w:val="21"/>
                <w:szCs w:val="21"/>
              </w:rPr>
              <w:t>190</w:t>
            </w:r>
          </w:p>
        </w:tc>
        <w:tc>
          <w:tcPr>
            <w:tcW w:w="415" w:type="pct"/>
            <w:vAlign w:val="center"/>
          </w:tcPr>
          <w:p>
            <w:pPr>
              <w:spacing w:line="240" w:lineRule="auto"/>
              <w:ind w:firstLine="0" w:firstLineChars="0"/>
              <w:jc w:val="center"/>
              <w:rPr>
                <w:rFonts w:cs="Times New Roman"/>
                <w:sz w:val="21"/>
                <w:szCs w:val="21"/>
              </w:rPr>
            </w:pPr>
            <w:r>
              <w:rPr>
                <w:rFonts w:cs="Times New Roman"/>
                <w:sz w:val="21"/>
                <w:szCs w:val="21"/>
              </w:rPr>
              <w:t xml:space="preserve">34 </w:t>
            </w:r>
          </w:p>
        </w:tc>
        <w:tc>
          <w:tcPr>
            <w:tcW w:w="665" w:type="pct"/>
            <w:vMerge w:val="restart"/>
            <w:vAlign w:val="center"/>
          </w:tcPr>
          <w:p>
            <w:pPr>
              <w:spacing w:line="240" w:lineRule="auto"/>
              <w:ind w:firstLine="0" w:firstLineChars="0"/>
              <w:jc w:val="center"/>
              <w:rPr>
                <w:rFonts w:cs="Times New Roman"/>
                <w:sz w:val="21"/>
                <w:szCs w:val="21"/>
              </w:rPr>
            </w:pPr>
            <w:r>
              <w:rPr>
                <w:rFonts w:cs="Times New Roman"/>
                <w:sz w:val="21"/>
                <w:szCs w:val="21"/>
              </w:rPr>
              <w:t>窑圪台乡</w:t>
            </w:r>
          </w:p>
          <w:p>
            <w:pPr>
              <w:spacing w:line="240" w:lineRule="auto"/>
              <w:ind w:firstLine="0" w:firstLineChars="0"/>
              <w:jc w:val="center"/>
              <w:rPr>
                <w:rFonts w:cs="Times New Roman"/>
                <w:sz w:val="21"/>
                <w:szCs w:val="21"/>
              </w:rPr>
            </w:pPr>
          </w:p>
        </w:tc>
        <w:tc>
          <w:tcPr>
            <w:tcW w:w="727" w:type="pct"/>
          </w:tcPr>
          <w:p>
            <w:pPr>
              <w:spacing w:line="240" w:lineRule="auto"/>
              <w:ind w:firstLine="0" w:firstLineChars="0"/>
              <w:jc w:val="center"/>
              <w:rPr>
                <w:rFonts w:cs="Times New Roman"/>
                <w:sz w:val="21"/>
                <w:szCs w:val="21"/>
              </w:rPr>
            </w:pPr>
            <w:r>
              <w:rPr>
                <w:rFonts w:cs="Times New Roman"/>
                <w:sz w:val="21"/>
                <w:szCs w:val="21"/>
              </w:rPr>
              <w:t>五楼沟村</w:t>
            </w:r>
          </w:p>
        </w:tc>
        <w:tc>
          <w:tcPr>
            <w:tcW w:w="716" w:type="pct"/>
          </w:tcPr>
          <w:p>
            <w:pPr>
              <w:spacing w:line="240" w:lineRule="auto"/>
              <w:ind w:firstLine="0" w:firstLineChars="0"/>
              <w:jc w:val="center"/>
              <w:rPr>
                <w:rFonts w:cs="Times New Roman"/>
                <w:sz w:val="21"/>
                <w:szCs w:val="21"/>
              </w:rPr>
            </w:pPr>
            <w:r>
              <w:rPr>
                <w:rFonts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81"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16</w:t>
            </w:r>
          </w:p>
        </w:tc>
        <w:tc>
          <w:tcPr>
            <w:tcW w:w="579" w:type="pct"/>
            <w:vMerge w:val="continue"/>
            <w:shd w:val="clear" w:color="auto" w:fill="auto"/>
            <w:noWrap/>
            <w:vAlign w:val="center"/>
          </w:tcPr>
          <w:p>
            <w:pPr>
              <w:spacing w:line="240" w:lineRule="auto"/>
              <w:ind w:firstLine="0" w:firstLineChars="0"/>
              <w:jc w:val="center"/>
              <w:rPr>
                <w:rFonts w:cs="Times New Roman"/>
                <w:sz w:val="21"/>
                <w:szCs w:val="21"/>
              </w:rPr>
            </w:pPr>
          </w:p>
        </w:tc>
        <w:tc>
          <w:tcPr>
            <w:tcW w:w="743"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后会村</w:t>
            </w:r>
          </w:p>
        </w:tc>
        <w:tc>
          <w:tcPr>
            <w:tcW w:w="774" w:type="pct"/>
            <w:vAlign w:val="center"/>
          </w:tcPr>
          <w:p>
            <w:pPr>
              <w:spacing w:line="240" w:lineRule="auto"/>
              <w:ind w:firstLine="0" w:firstLineChars="0"/>
              <w:jc w:val="center"/>
              <w:rPr>
                <w:rFonts w:cs="Times New Roman"/>
                <w:sz w:val="21"/>
                <w:szCs w:val="21"/>
              </w:rPr>
            </w:pPr>
            <w:r>
              <w:rPr>
                <w:rFonts w:cs="Times New Roman"/>
                <w:sz w:val="21"/>
                <w:szCs w:val="21"/>
              </w:rPr>
              <w:t>100</w:t>
            </w:r>
          </w:p>
        </w:tc>
        <w:tc>
          <w:tcPr>
            <w:tcW w:w="415" w:type="pct"/>
            <w:vAlign w:val="center"/>
          </w:tcPr>
          <w:p>
            <w:pPr>
              <w:spacing w:line="240" w:lineRule="auto"/>
              <w:ind w:firstLine="0" w:firstLineChars="0"/>
              <w:jc w:val="center"/>
              <w:rPr>
                <w:rFonts w:cs="Times New Roman"/>
                <w:sz w:val="21"/>
                <w:szCs w:val="21"/>
              </w:rPr>
            </w:pPr>
            <w:r>
              <w:rPr>
                <w:rFonts w:cs="Times New Roman"/>
                <w:sz w:val="21"/>
                <w:szCs w:val="21"/>
              </w:rPr>
              <w:t>35</w:t>
            </w:r>
          </w:p>
        </w:tc>
        <w:tc>
          <w:tcPr>
            <w:tcW w:w="665" w:type="pct"/>
            <w:vMerge w:val="continue"/>
            <w:vAlign w:val="center"/>
          </w:tcPr>
          <w:p>
            <w:pPr>
              <w:spacing w:line="240" w:lineRule="auto"/>
              <w:ind w:firstLine="0" w:firstLineChars="0"/>
              <w:jc w:val="center"/>
              <w:rPr>
                <w:rFonts w:cs="Times New Roman"/>
                <w:sz w:val="21"/>
                <w:szCs w:val="21"/>
              </w:rPr>
            </w:pPr>
          </w:p>
        </w:tc>
        <w:tc>
          <w:tcPr>
            <w:tcW w:w="727" w:type="pct"/>
          </w:tcPr>
          <w:p>
            <w:pPr>
              <w:spacing w:line="240" w:lineRule="auto"/>
              <w:ind w:firstLine="0" w:firstLineChars="0"/>
              <w:jc w:val="center"/>
              <w:rPr>
                <w:rFonts w:cs="Times New Roman"/>
                <w:sz w:val="21"/>
                <w:szCs w:val="21"/>
              </w:rPr>
            </w:pPr>
            <w:r>
              <w:rPr>
                <w:rFonts w:cs="Times New Roman"/>
                <w:sz w:val="21"/>
                <w:szCs w:val="21"/>
              </w:rPr>
              <w:t>闫家坪村</w:t>
            </w:r>
          </w:p>
        </w:tc>
        <w:tc>
          <w:tcPr>
            <w:tcW w:w="716" w:type="pct"/>
          </w:tcPr>
          <w:p>
            <w:pPr>
              <w:spacing w:line="240" w:lineRule="auto"/>
              <w:ind w:firstLine="0" w:firstLineChars="0"/>
              <w:jc w:val="center"/>
              <w:rPr>
                <w:rFonts w:cs="Times New Roman"/>
                <w:sz w:val="21"/>
                <w:szCs w:val="21"/>
              </w:rPr>
            </w:pPr>
            <w:r>
              <w:rPr>
                <w:rFonts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81"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17</w:t>
            </w:r>
          </w:p>
        </w:tc>
        <w:tc>
          <w:tcPr>
            <w:tcW w:w="579" w:type="pct"/>
            <w:vMerge w:val="continue"/>
            <w:shd w:val="clear" w:color="auto" w:fill="auto"/>
            <w:noWrap/>
            <w:vAlign w:val="center"/>
          </w:tcPr>
          <w:p>
            <w:pPr>
              <w:spacing w:line="240" w:lineRule="auto"/>
              <w:ind w:firstLine="0" w:firstLineChars="0"/>
              <w:jc w:val="center"/>
              <w:rPr>
                <w:rFonts w:cs="Times New Roman"/>
                <w:sz w:val="21"/>
                <w:szCs w:val="21"/>
              </w:rPr>
            </w:pPr>
          </w:p>
        </w:tc>
        <w:tc>
          <w:tcPr>
            <w:tcW w:w="743" w:type="pct"/>
            <w:shd w:val="clear" w:color="auto" w:fill="auto"/>
            <w:noWrap/>
          </w:tcPr>
          <w:p>
            <w:pPr>
              <w:spacing w:line="240" w:lineRule="auto"/>
              <w:ind w:firstLine="0" w:firstLineChars="0"/>
              <w:jc w:val="center"/>
              <w:rPr>
                <w:rFonts w:cs="Times New Roman"/>
                <w:sz w:val="21"/>
                <w:szCs w:val="21"/>
              </w:rPr>
            </w:pPr>
            <w:r>
              <w:rPr>
                <w:rFonts w:cs="Times New Roman"/>
                <w:sz w:val="21"/>
                <w:szCs w:val="21"/>
              </w:rPr>
              <w:t>杨家湾村</w:t>
            </w:r>
          </w:p>
        </w:tc>
        <w:tc>
          <w:tcPr>
            <w:tcW w:w="774" w:type="pct"/>
          </w:tcPr>
          <w:p>
            <w:pPr>
              <w:spacing w:line="240" w:lineRule="auto"/>
              <w:ind w:firstLine="0" w:firstLineChars="0"/>
              <w:jc w:val="center"/>
              <w:rPr>
                <w:rFonts w:cs="Times New Roman"/>
                <w:sz w:val="21"/>
                <w:szCs w:val="21"/>
              </w:rPr>
            </w:pPr>
            <w:r>
              <w:rPr>
                <w:rFonts w:cs="Times New Roman"/>
                <w:sz w:val="21"/>
                <w:szCs w:val="21"/>
              </w:rPr>
              <w:t>500</w:t>
            </w:r>
          </w:p>
        </w:tc>
        <w:tc>
          <w:tcPr>
            <w:tcW w:w="415" w:type="pct"/>
            <w:vAlign w:val="center"/>
          </w:tcPr>
          <w:p>
            <w:pPr>
              <w:spacing w:line="240" w:lineRule="auto"/>
              <w:ind w:firstLine="0" w:firstLineChars="0"/>
              <w:jc w:val="center"/>
              <w:rPr>
                <w:rFonts w:cs="Times New Roman"/>
                <w:sz w:val="21"/>
                <w:szCs w:val="21"/>
              </w:rPr>
            </w:pPr>
            <w:r>
              <w:rPr>
                <w:rFonts w:cs="Times New Roman"/>
                <w:sz w:val="21"/>
                <w:szCs w:val="21"/>
              </w:rPr>
              <w:t>36</w:t>
            </w:r>
          </w:p>
        </w:tc>
        <w:tc>
          <w:tcPr>
            <w:tcW w:w="665" w:type="pct"/>
            <w:vMerge w:val="continue"/>
            <w:vAlign w:val="center"/>
          </w:tcPr>
          <w:p>
            <w:pPr>
              <w:spacing w:line="240" w:lineRule="auto"/>
              <w:ind w:firstLine="0" w:firstLineChars="0"/>
              <w:jc w:val="center"/>
              <w:rPr>
                <w:rFonts w:cs="Times New Roman"/>
                <w:sz w:val="21"/>
                <w:szCs w:val="21"/>
              </w:rPr>
            </w:pPr>
          </w:p>
        </w:tc>
        <w:tc>
          <w:tcPr>
            <w:tcW w:w="727" w:type="pct"/>
          </w:tcPr>
          <w:p>
            <w:pPr>
              <w:spacing w:line="240" w:lineRule="auto"/>
              <w:ind w:firstLine="0" w:firstLineChars="0"/>
              <w:jc w:val="center"/>
              <w:rPr>
                <w:rFonts w:cs="Times New Roman"/>
                <w:sz w:val="21"/>
                <w:szCs w:val="21"/>
              </w:rPr>
            </w:pPr>
            <w:r>
              <w:rPr>
                <w:rFonts w:cs="Times New Roman"/>
                <w:sz w:val="21"/>
                <w:szCs w:val="21"/>
              </w:rPr>
              <w:t>窑圪台村</w:t>
            </w:r>
          </w:p>
        </w:tc>
        <w:tc>
          <w:tcPr>
            <w:tcW w:w="716" w:type="pct"/>
          </w:tcPr>
          <w:p>
            <w:pPr>
              <w:spacing w:line="240" w:lineRule="auto"/>
              <w:ind w:firstLine="0" w:firstLineChars="0"/>
              <w:jc w:val="center"/>
              <w:rPr>
                <w:rFonts w:cs="Times New Roman"/>
                <w:sz w:val="21"/>
                <w:szCs w:val="21"/>
              </w:rPr>
            </w:pPr>
            <w:r>
              <w:rPr>
                <w:rFonts w:cs="Times New Roman"/>
                <w:sz w:val="21"/>
                <w:szCs w:val="21"/>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81"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18</w:t>
            </w:r>
          </w:p>
        </w:tc>
        <w:tc>
          <w:tcPr>
            <w:tcW w:w="579" w:type="pct"/>
            <w:vMerge w:val="continue"/>
            <w:shd w:val="clear" w:color="auto" w:fill="auto"/>
            <w:noWrap/>
            <w:vAlign w:val="center"/>
          </w:tcPr>
          <w:p>
            <w:pPr>
              <w:spacing w:line="240" w:lineRule="auto"/>
              <w:ind w:firstLine="0" w:firstLineChars="0"/>
              <w:jc w:val="center"/>
              <w:rPr>
                <w:rFonts w:cs="Times New Roman"/>
                <w:sz w:val="21"/>
                <w:szCs w:val="21"/>
              </w:rPr>
            </w:pPr>
          </w:p>
        </w:tc>
        <w:tc>
          <w:tcPr>
            <w:tcW w:w="743" w:type="pct"/>
            <w:shd w:val="clear" w:color="auto" w:fill="auto"/>
            <w:noWrap/>
          </w:tcPr>
          <w:p>
            <w:pPr>
              <w:spacing w:line="240" w:lineRule="auto"/>
              <w:ind w:firstLine="0" w:firstLineChars="0"/>
              <w:jc w:val="center"/>
              <w:rPr>
                <w:rFonts w:cs="Times New Roman"/>
                <w:sz w:val="21"/>
                <w:szCs w:val="21"/>
              </w:rPr>
            </w:pPr>
            <w:r>
              <w:rPr>
                <w:rFonts w:cs="Times New Roman"/>
                <w:sz w:val="21"/>
              </w:rPr>
              <w:t>郭家湾村</w:t>
            </w:r>
          </w:p>
        </w:tc>
        <w:tc>
          <w:tcPr>
            <w:tcW w:w="774" w:type="pct"/>
          </w:tcPr>
          <w:p>
            <w:pPr>
              <w:spacing w:line="240" w:lineRule="auto"/>
              <w:ind w:firstLine="0" w:firstLineChars="0"/>
              <w:jc w:val="center"/>
              <w:rPr>
                <w:rFonts w:cs="Times New Roman"/>
                <w:sz w:val="21"/>
                <w:szCs w:val="21"/>
              </w:rPr>
            </w:pPr>
            <w:r>
              <w:rPr>
                <w:rFonts w:cs="Times New Roman"/>
                <w:sz w:val="21"/>
              </w:rPr>
              <w:t>46</w:t>
            </w:r>
          </w:p>
        </w:tc>
        <w:tc>
          <w:tcPr>
            <w:tcW w:w="415" w:type="pct"/>
            <w:vAlign w:val="center"/>
          </w:tcPr>
          <w:p>
            <w:pPr>
              <w:spacing w:line="240" w:lineRule="auto"/>
              <w:ind w:firstLine="0" w:firstLineChars="0"/>
              <w:jc w:val="center"/>
              <w:rPr>
                <w:rFonts w:cs="Times New Roman"/>
                <w:sz w:val="21"/>
                <w:szCs w:val="21"/>
              </w:rPr>
            </w:pPr>
          </w:p>
        </w:tc>
        <w:tc>
          <w:tcPr>
            <w:tcW w:w="665" w:type="pct"/>
            <w:vAlign w:val="center"/>
          </w:tcPr>
          <w:p>
            <w:pPr>
              <w:spacing w:line="240" w:lineRule="auto"/>
              <w:ind w:firstLine="0" w:firstLineChars="0"/>
              <w:jc w:val="center"/>
              <w:rPr>
                <w:rFonts w:cs="Times New Roman"/>
                <w:sz w:val="21"/>
                <w:szCs w:val="21"/>
              </w:rPr>
            </w:pPr>
          </w:p>
        </w:tc>
        <w:tc>
          <w:tcPr>
            <w:tcW w:w="727" w:type="pct"/>
          </w:tcPr>
          <w:p>
            <w:pPr>
              <w:spacing w:line="240" w:lineRule="auto"/>
              <w:ind w:firstLine="0" w:firstLineChars="0"/>
              <w:jc w:val="center"/>
              <w:rPr>
                <w:rFonts w:cs="Times New Roman"/>
                <w:sz w:val="21"/>
                <w:szCs w:val="21"/>
              </w:rPr>
            </w:pPr>
          </w:p>
        </w:tc>
        <w:tc>
          <w:tcPr>
            <w:tcW w:w="716" w:type="pct"/>
          </w:tcPr>
          <w:p>
            <w:pPr>
              <w:spacing w:line="240" w:lineRule="auto"/>
              <w:ind w:firstLine="0" w:firstLineChars="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81"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19</w:t>
            </w:r>
          </w:p>
        </w:tc>
        <w:tc>
          <w:tcPr>
            <w:tcW w:w="579" w:type="pct"/>
            <w:vMerge w:val="continue"/>
            <w:shd w:val="clear" w:color="auto" w:fill="auto"/>
            <w:noWrap/>
            <w:vAlign w:val="center"/>
          </w:tcPr>
          <w:p>
            <w:pPr>
              <w:spacing w:line="240" w:lineRule="auto"/>
              <w:ind w:firstLine="0" w:firstLineChars="0"/>
              <w:jc w:val="center"/>
              <w:rPr>
                <w:rFonts w:cs="Times New Roman"/>
                <w:sz w:val="21"/>
                <w:szCs w:val="21"/>
              </w:rPr>
            </w:pPr>
          </w:p>
        </w:tc>
        <w:tc>
          <w:tcPr>
            <w:tcW w:w="743" w:type="pct"/>
            <w:shd w:val="clear" w:color="auto" w:fill="auto"/>
            <w:noWrap/>
          </w:tcPr>
          <w:p>
            <w:pPr>
              <w:spacing w:line="240" w:lineRule="auto"/>
              <w:ind w:firstLine="0" w:firstLineChars="0"/>
              <w:jc w:val="center"/>
              <w:rPr>
                <w:rFonts w:cs="Times New Roman"/>
                <w:sz w:val="21"/>
                <w:szCs w:val="21"/>
              </w:rPr>
            </w:pPr>
            <w:r>
              <w:rPr>
                <w:rFonts w:cs="Times New Roman"/>
                <w:sz w:val="21"/>
                <w:szCs w:val="21"/>
              </w:rPr>
              <w:t>稻畦村</w:t>
            </w:r>
          </w:p>
        </w:tc>
        <w:tc>
          <w:tcPr>
            <w:tcW w:w="774" w:type="pct"/>
          </w:tcPr>
          <w:p>
            <w:pPr>
              <w:spacing w:line="240" w:lineRule="auto"/>
              <w:ind w:firstLine="0" w:firstLineChars="0"/>
              <w:jc w:val="center"/>
              <w:rPr>
                <w:rFonts w:cs="Times New Roman"/>
                <w:sz w:val="21"/>
                <w:szCs w:val="21"/>
              </w:rPr>
            </w:pPr>
            <w:r>
              <w:rPr>
                <w:rFonts w:cs="Times New Roman"/>
                <w:sz w:val="21"/>
                <w:szCs w:val="21"/>
              </w:rPr>
              <w:t>80</w:t>
            </w:r>
          </w:p>
        </w:tc>
        <w:tc>
          <w:tcPr>
            <w:tcW w:w="415" w:type="pct"/>
            <w:vAlign w:val="center"/>
          </w:tcPr>
          <w:p>
            <w:pPr>
              <w:spacing w:line="240" w:lineRule="auto"/>
              <w:ind w:firstLine="0" w:firstLineChars="0"/>
              <w:jc w:val="center"/>
              <w:rPr>
                <w:rFonts w:cs="Times New Roman"/>
                <w:sz w:val="21"/>
                <w:szCs w:val="21"/>
              </w:rPr>
            </w:pPr>
          </w:p>
        </w:tc>
        <w:tc>
          <w:tcPr>
            <w:tcW w:w="665" w:type="pct"/>
            <w:vAlign w:val="center"/>
          </w:tcPr>
          <w:p>
            <w:pPr>
              <w:spacing w:line="240" w:lineRule="auto"/>
              <w:ind w:firstLine="0" w:firstLineChars="0"/>
              <w:jc w:val="center"/>
              <w:rPr>
                <w:rFonts w:cs="Times New Roman"/>
                <w:sz w:val="21"/>
                <w:szCs w:val="21"/>
              </w:rPr>
            </w:pPr>
          </w:p>
        </w:tc>
        <w:tc>
          <w:tcPr>
            <w:tcW w:w="727" w:type="pct"/>
          </w:tcPr>
          <w:p>
            <w:pPr>
              <w:spacing w:line="240" w:lineRule="auto"/>
              <w:ind w:firstLine="0" w:firstLineChars="0"/>
              <w:jc w:val="center"/>
              <w:rPr>
                <w:rFonts w:cs="Times New Roman"/>
                <w:sz w:val="21"/>
                <w:szCs w:val="21"/>
              </w:rPr>
            </w:pPr>
          </w:p>
        </w:tc>
        <w:tc>
          <w:tcPr>
            <w:tcW w:w="716" w:type="pct"/>
          </w:tcPr>
          <w:p>
            <w:pPr>
              <w:spacing w:line="240" w:lineRule="auto"/>
              <w:ind w:firstLine="0" w:firstLineChars="0"/>
              <w:jc w:val="center"/>
              <w:rPr>
                <w:rFonts w:cs="Times New Roman"/>
                <w:sz w:val="21"/>
                <w:szCs w:val="21"/>
              </w:rPr>
            </w:pPr>
          </w:p>
        </w:tc>
      </w:tr>
    </w:tbl>
    <w:p>
      <w:pPr>
        <w:ind w:firstLine="480"/>
        <w:rPr>
          <w:rFonts w:cs="Times New Roman"/>
        </w:rPr>
      </w:pPr>
      <w:r>
        <w:rPr>
          <w:rFonts w:cs="Times New Roman"/>
        </w:rPr>
        <w:t>（3）乡镇所在地村庄</w:t>
      </w:r>
    </w:p>
    <w:p>
      <w:pPr>
        <w:ind w:firstLine="480"/>
        <w:rPr>
          <w:rFonts w:cs="Times New Roman"/>
        </w:rPr>
      </w:pPr>
      <w:r>
        <w:rPr>
          <w:rFonts w:cs="Times New Roman"/>
        </w:rPr>
        <w:t>13个乡镇政府所在地村庄，东关镇为县政府驻地。其余12个乡镇政府所在地分别为义门村、腰庄村、杨家湾村、桥头村、窑圪台村、窑洼村、韩家川村、孙家沟村、林遮峪村、冯家川村、南河沟村、土崖塔村。本次规划选择</w:t>
      </w:r>
      <w:r>
        <w:rPr>
          <w:rFonts w:hint="eastAsia" w:cs="Times New Roman"/>
        </w:rPr>
        <w:t>乡镇政府常住人口较多</w:t>
      </w:r>
      <w:r>
        <w:rPr>
          <w:rFonts w:cs="Times New Roman"/>
        </w:rPr>
        <w:t>，且未纳入管网的村落</w:t>
      </w:r>
      <w:r>
        <w:rPr>
          <w:rFonts w:hint="eastAsia" w:cs="Times New Roman"/>
        </w:rPr>
        <w:t>，再结合</w:t>
      </w:r>
      <w:r>
        <w:rPr>
          <w:rFonts w:cs="Times New Roman"/>
        </w:rPr>
        <w:t>当地经济发展</w:t>
      </w:r>
      <w:r>
        <w:rPr>
          <w:rFonts w:hint="eastAsia" w:cs="Times New Roman"/>
        </w:rPr>
        <w:t>状况</w:t>
      </w:r>
      <w:r>
        <w:rPr>
          <w:rFonts w:cs="Times New Roman"/>
        </w:rPr>
        <w:t>及排污情况，综合确定的方法。</w:t>
      </w:r>
      <w:r>
        <w:rPr>
          <w:rFonts w:hint="eastAsia" w:cs="Times New Roman"/>
        </w:rPr>
        <w:t>选定</w:t>
      </w:r>
      <w:r>
        <w:rPr>
          <w:rFonts w:cs="Times New Roman"/>
        </w:rPr>
        <w:t>的治理村庄有</w:t>
      </w:r>
      <w:r>
        <w:rPr>
          <w:rFonts w:hint="eastAsia" w:cs="Times New Roman"/>
        </w:rPr>
        <w:t>东关镇</w:t>
      </w:r>
      <w:r>
        <w:rPr>
          <w:rFonts w:cs="Times New Roman"/>
        </w:rPr>
        <w:t>郭家滩村</w:t>
      </w:r>
      <w:r>
        <w:rPr>
          <w:rFonts w:hint="eastAsia" w:cs="Times New Roman"/>
        </w:rPr>
        <w:t>、</w:t>
      </w:r>
      <w:r>
        <w:rPr>
          <w:rFonts w:cs="Times New Roman"/>
        </w:rPr>
        <w:t>腰庄乡</w:t>
      </w:r>
      <w:r>
        <w:rPr>
          <w:rFonts w:hint="eastAsia" w:cs="Times New Roman"/>
        </w:rPr>
        <w:t>腰庄村</w:t>
      </w:r>
      <w:r>
        <w:rPr>
          <w:rFonts w:cs="Times New Roman"/>
        </w:rPr>
        <w:t>、窑洼乡窑洼村</w:t>
      </w:r>
      <w:r>
        <w:rPr>
          <w:rFonts w:hint="eastAsia" w:cs="Times New Roman"/>
        </w:rPr>
        <w:t>、</w:t>
      </w:r>
      <w:r>
        <w:rPr>
          <w:rFonts w:cs="Times New Roman"/>
        </w:rPr>
        <w:t>南河沟乡南河沟村、冯家川乡冯家川村。</w:t>
      </w:r>
    </w:p>
    <w:p>
      <w:pPr>
        <w:pStyle w:val="16"/>
        <w:ind w:firstLine="420"/>
        <w:rPr>
          <w:rFonts w:eastAsia="黑体" w:cs="Times New Roman"/>
        </w:rPr>
      </w:pPr>
      <w:r>
        <w:rPr>
          <w:rFonts w:eastAsia="黑体" w:cs="Times New Roman"/>
          <w:b w:val="0"/>
          <w:bCs/>
        </w:rPr>
        <w:t>表4-3  乡镇所在地及村庄人数</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2"/>
        <w:gridCol w:w="1472"/>
        <w:gridCol w:w="1472"/>
        <w:gridCol w:w="1472"/>
        <w:gridCol w:w="1473"/>
        <w:gridCol w:w="14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2" w:type="dxa"/>
            <w:vAlign w:val="center"/>
          </w:tcPr>
          <w:p>
            <w:pPr>
              <w:ind w:firstLine="0" w:firstLineChars="0"/>
              <w:jc w:val="center"/>
              <w:rPr>
                <w:rFonts w:eastAsia="微软雅黑" w:cs="Times New Roman"/>
                <w:b/>
                <w:kern w:val="0"/>
                <w:sz w:val="21"/>
                <w:szCs w:val="21"/>
              </w:rPr>
            </w:pPr>
            <w:r>
              <w:rPr>
                <w:rFonts w:eastAsia="微软雅黑" w:cs="Times New Roman"/>
                <w:b/>
                <w:kern w:val="0"/>
                <w:sz w:val="21"/>
                <w:szCs w:val="21"/>
              </w:rPr>
              <w:t>乡镇名称</w:t>
            </w:r>
          </w:p>
        </w:tc>
        <w:tc>
          <w:tcPr>
            <w:tcW w:w="1472" w:type="dxa"/>
            <w:vAlign w:val="center"/>
          </w:tcPr>
          <w:p>
            <w:pPr>
              <w:ind w:firstLine="0" w:firstLineChars="0"/>
              <w:jc w:val="center"/>
              <w:rPr>
                <w:rFonts w:eastAsia="微软雅黑" w:cs="Times New Roman"/>
                <w:b/>
                <w:kern w:val="0"/>
                <w:sz w:val="21"/>
                <w:szCs w:val="21"/>
              </w:rPr>
            </w:pPr>
            <w:r>
              <w:rPr>
                <w:rFonts w:eastAsia="微软雅黑" w:cs="Times New Roman"/>
                <w:b/>
                <w:kern w:val="0"/>
                <w:sz w:val="21"/>
                <w:szCs w:val="21"/>
              </w:rPr>
              <w:t>所在地</w:t>
            </w:r>
          </w:p>
        </w:tc>
        <w:tc>
          <w:tcPr>
            <w:tcW w:w="1472" w:type="dxa"/>
            <w:vAlign w:val="center"/>
          </w:tcPr>
          <w:p>
            <w:pPr>
              <w:ind w:firstLine="0" w:firstLineChars="0"/>
              <w:jc w:val="center"/>
              <w:rPr>
                <w:rFonts w:eastAsia="微软雅黑" w:cs="Times New Roman"/>
                <w:b/>
                <w:kern w:val="0"/>
                <w:sz w:val="21"/>
                <w:szCs w:val="21"/>
              </w:rPr>
            </w:pPr>
            <w:r>
              <w:rPr>
                <w:rFonts w:eastAsia="微软雅黑" w:cs="Times New Roman"/>
                <w:b/>
                <w:kern w:val="0"/>
                <w:sz w:val="21"/>
                <w:szCs w:val="21"/>
              </w:rPr>
              <w:t>常住人口</w:t>
            </w:r>
          </w:p>
        </w:tc>
        <w:tc>
          <w:tcPr>
            <w:tcW w:w="1472" w:type="dxa"/>
            <w:vAlign w:val="center"/>
          </w:tcPr>
          <w:p>
            <w:pPr>
              <w:ind w:firstLine="0" w:firstLineChars="0"/>
              <w:jc w:val="center"/>
              <w:rPr>
                <w:rFonts w:eastAsia="微软雅黑" w:cs="Times New Roman"/>
                <w:b/>
                <w:kern w:val="0"/>
                <w:sz w:val="21"/>
                <w:szCs w:val="21"/>
              </w:rPr>
            </w:pPr>
            <w:r>
              <w:rPr>
                <w:rFonts w:eastAsia="微软雅黑" w:cs="Times New Roman"/>
                <w:b/>
                <w:kern w:val="0"/>
                <w:sz w:val="21"/>
                <w:szCs w:val="21"/>
              </w:rPr>
              <w:t>乡镇名称</w:t>
            </w:r>
          </w:p>
        </w:tc>
        <w:tc>
          <w:tcPr>
            <w:tcW w:w="1473" w:type="dxa"/>
            <w:vAlign w:val="center"/>
          </w:tcPr>
          <w:p>
            <w:pPr>
              <w:ind w:firstLine="0" w:firstLineChars="0"/>
              <w:jc w:val="center"/>
              <w:rPr>
                <w:rFonts w:eastAsia="微软雅黑" w:cs="Times New Roman"/>
                <w:b/>
                <w:kern w:val="0"/>
                <w:sz w:val="21"/>
                <w:szCs w:val="21"/>
              </w:rPr>
            </w:pPr>
            <w:r>
              <w:rPr>
                <w:rFonts w:eastAsia="微软雅黑" w:cs="Times New Roman"/>
                <w:b/>
                <w:kern w:val="0"/>
                <w:sz w:val="21"/>
                <w:szCs w:val="21"/>
              </w:rPr>
              <w:t>所在地</w:t>
            </w:r>
          </w:p>
        </w:tc>
        <w:tc>
          <w:tcPr>
            <w:tcW w:w="1473" w:type="dxa"/>
            <w:vAlign w:val="center"/>
          </w:tcPr>
          <w:p>
            <w:pPr>
              <w:ind w:firstLine="0" w:firstLineChars="0"/>
              <w:jc w:val="center"/>
              <w:rPr>
                <w:rFonts w:eastAsia="微软雅黑" w:cs="Times New Roman"/>
                <w:b/>
                <w:kern w:val="0"/>
                <w:sz w:val="21"/>
                <w:szCs w:val="21"/>
              </w:rPr>
            </w:pPr>
            <w:r>
              <w:rPr>
                <w:rFonts w:eastAsia="微软雅黑" w:cs="Times New Roman"/>
                <w:b/>
                <w:kern w:val="0"/>
                <w:sz w:val="21"/>
                <w:szCs w:val="21"/>
              </w:rPr>
              <w:t>常住人口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义门镇</w:t>
            </w:r>
          </w:p>
        </w:tc>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义门村</w:t>
            </w:r>
          </w:p>
        </w:tc>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900</w:t>
            </w:r>
          </w:p>
        </w:tc>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东关镇</w:t>
            </w:r>
          </w:p>
        </w:tc>
        <w:tc>
          <w:tcPr>
            <w:tcW w:w="1473"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郭家滩</w:t>
            </w:r>
          </w:p>
        </w:tc>
        <w:tc>
          <w:tcPr>
            <w:tcW w:w="1473"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5800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腰庄乡</w:t>
            </w:r>
          </w:p>
        </w:tc>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腰庄村</w:t>
            </w:r>
          </w:p>
        </w:tc>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642</w:t>
            </w:r>
          </w:p>
        </w:tc>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杨家湾镇</w:t>
            </w:r>
          </w:p>
        </w:tc>
        <w:tc>
          <w:tcPr>
            <w:tcW w:w="1473"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杨家湾村</w:t>
            </w:r>
          </w:p>
        </w:tc>
        <w:tc>
          <w:tcPr>
            <w:tcW w:w="1473"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桥头镇</w:t>
            </w:r>
          </w:p>
        </w:tc>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桥头村</w:t>
            </w:r>
          </w:p>
        </w:tc>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1020</w:t>
            </w:r>
          </w:p>
        </w:tc>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窑圪台乡</w:t>
            </w:r>
          </w:p>
        </w:tc>
        <w:tc>
          <w:tcPr>
            <w:tcW w:w="1473"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窑圪台村</w:t>
            </w:r>
          </w:p>
        </w:tc>
        <w:tc>
          <w:tcPr>
            <w:tcW w:w="1473"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韩家川乡</w:t>
            </w:r>
          </w:p>
        </w:tc>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韩家川村</w:t>
            </w:r>
          </w:p>
        </w:tc>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400</w:t>
            </w:r>
          </w:p>
        </w:tc>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孙家沟乡</w:t>
            </w:r>
          </w:p>
        </w:tc>
        <w:tc>
          <w:tcPr>
            <w:tcW w:w="1473"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孙家沟村</w:t>
            </w:r>
          </w:p>
        </w:tc>
        <w:tc>
          <w:tcPr>
            <w:tcW w:w="1473"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窑洼乡</w:t>
            </w:r>
          </w:p>
        </w:tc>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窑洼村</w:t>
            </w:r>
          </w:p>
        </w:tc>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330</w:t>
            </w:r>
          </w:p>
        </w:tc>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冯家川乡</w:t>
            </w:r>
          </w:p>
        </w:tc>
        <w:tc>
          <w:tcPr>
            <w:tcW w:w="1473"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冯家川村</w:t>
            </w:r>
          </w:p>
        </w:tc>
        <w:tc>
          <w:tcPr>
            <w:tcW w:w="1473"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土崖塔乡</w:t>
            </w:r>
          </w:p>
        </w:tc>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土崖塔村</w:t>
            </w:r>
          </w:p>
        </w:tc>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70</w:t>
            </w:r>
          </w:p>
        </w:tc>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南河沟乡</w:t>
            </w:r>
          </w:p>
        </w:tc>
        <w:tc>
          <w:tcPr>
            <w:tcW w:w="1473"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南河沟村</w:t>
            </w:r>
          </w:p>
        </w:tc>
        <w:tc>
          <w:tcPr>
            <w:tcW w:w="1473"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林遮峪乡</w:t>
            </w:r>
          </w:p>
        </w:tc>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林遮峪村</w:t>
            </w:r>
          </w:p>
        </w:tc>
        <w:tc>
          <w:tcPr>
            <w:tcW w:w="1472" w:type="dxa"/>
            <w:vAlign w:val="center"/>
          </w:tcPr>
          <w:p>
            <w:pPr>
              <w:ind w:firstLine="0" w:firstLineChars="0"/>
              <w:jc w:val="center"/>
              <w:rPr>
                <w:rFonts w:eastAsia="微软雅黑" w:cs="Times New Roman"/>
                <w:kern w:val="0"/>
                <w:sz w:val="21"/>
                <w:szCs w:val="21"/>
              </w:rPr>
            </w:pPr>
            <w:r>
              <w:rPr>
                <w:rFonts w:eastAsia="微软雅黑" w:cs="Times New Roman"/>
                <w:kern w:val="0"/>
                <w:sz w:val="21"/>
                <w:szCs w:val="21"/>
              </w:rPr>
              <w:t>100</w:t>
            </w:r>
          </w:p>
        </w:tc>
        <w:tc>
          <w:tcPr>
            <w:tcW w:w="1472" w:type="dxa"/>
            <w:vAlign w:val="center"/>
          </w:tcPr>
          <w:p>
            <w:pPr>
              <w:ind w:firstLine="0" w:firstLineChars="0"/>
              <w:jc w:val="center"/>
              <w:rPr>
                <w:rFonts w:eastAsia="微软雅黑" w:cs="Times New Roman"/>
                <w:kern w:val="0"/>
                <w:sz w:val="21"/>
                <w:szCs w:val="21"/>
              </w:rPr>
            </w:pPr>
          </w:p>
        </w:tc>
        <w:tc>
          <w:tcPr>
            <w:tcW w:w="1473" w:type="dxa"/>
            <w:vAlign w:val="center"/>
          </w:tcPr>
          <w:p>
            <w:pPr>
              <w:ind w:firstLine="0" w:firstLineChars="0"/>
              <w:jc w:val="center"/>
              <w:rPr>
                <w:rFonts w:eastAsia="微软雅黑" w:cs="Times New Roman"/>
                <w:kern w:val="0"/>
                <w:sz w:val="21"/>
                <w:szCs w:val="21"/>
              </w:rPr>
            </w:pPr>
          </w:p>
        </w:tc>
        <w:tc>
          <w:tcPr>
            <w:tcW w:w="1473" w:type="dxa"/>
            <w:vAlign w:val="center"/>
          </w:tcPr>
          <w:p>
            <w:pPr>
              <w:ind w:firstLine="0" w:firstLineChars="0"/>
              <w:jc w:val="center"/>
              <w:rPr>
                <w:rFonts w:eastAsia="微软雅黑" w:cs="Times New Roman"/>
                <w:kern w:val="0"/>
                <w:sz w:val="21"/>
                <w:szCs w:val="21"/>
              </w:rPr>
            </w:pPr>
          </w:p>
        </w:tc>
      </w:tr>
    </w:tbl>
    <w:p>
      <w:pPr>
        <w:ind w:firstLine="480"/>
        <w:rPr>
          <w:rFonts w:cs="Times New Roman"/>
        </w:rPr>
      </w:pPr>
      <w:r>
        <w:rPr>
          <w:rFonts w:cs="Times New Roman"/>
        </w:rPr>
        <w:t>（4）农村环境综合整治村庄</w:t>
      </w:r>
    </w:p>
    <w:p>
      <w:pPr>
        <w:ind w:firstLine="480"/>
        <w:rPr>
          <w:rFonts w:cs="Times New Roman"/>
        </w:rPr>
      </w:pPr>
      <w:r>
        <w:rPr>
          <w:rFonts w:cs="Times New Roman"/>
        </w:rPr>
        <w:t>根据《忻州市2019年度农村生活污水治理及农村环境综合整治情况说明》，保德县无农村生活污水治理的村庄，实施农村环境政治的村庄有13个，分别为：韩家川乡的关局村、豆塔、赵家庄、焉头、木瓜梁，土崖塔乡的党家里、武家塔、寨上、王家坡、安家山、西山头，南河沟乡的韩家塔、尚家塔。但由于上述村落污水排放量均不超过2m</w:t>
      </w:r>
      <w:r>
        <w:rPr>
          <w:rFonts w:cs="Times New Roman"/>
          <w:vertAlign w:val="superscript"/>
        </w:rPr>
        <w:t>3</w:t>
      </w:r>
      <w:r>
        <w:rPr>
          <w:rFonts w:cs="Times New Roman"/>
        </w:rPr>
        <w:t>/d，大部分不超过1m</w:t>
      </w:r>
      <w:r>
        <w:rPr>
          <w:rFonts w:cs="Times New Roman"/>
          <w:vertAlign w:val="superscript"/>
        </w:rPr>
        <w:t>3</w:t>
      </w:r>
      <w:r>
        <w:rPr>
          <w:rFonts w:cs="Times New Roman"/>
        </w:rPr>
        <w:t>/d，综合治理效果及社会经济效益考虑，本次规划不对上述村落进行治理。</w:t>
      </w:r>
    </w:p>
    <w:p>
      <w:pPr>
        <w:ind w:firstLine="480"/>
        <w:rPr>
          <w:rFonts w:cs="Times New Roman"/>
        </w:rPr>
      </w:pPr>
      <w:r>
        <w:rPr>
          <w:rFonts w:cs="Times New Roman"/>
        </w:rPr>
        <w:t>（5）断面</w:t>
      </w:r>
    </w:p>
    <w:p>
      <w:pPr>
        <w:ind w:firstLine="480"/>
        <w:rPr>
          <w:rFonts w:cs="Times New Roman"/>
        </w:rPr>
      </w:pPr>
      <w:r>
        <w:rPr>
          <w:rFonts w:cs="Times New Roman"/>
        </w:rPr>
        <w:t>保德县目前有两个省考断面，分别为花园</w:t>
      </w:r>
      <w:r>
        <w:rPr>
          <w:rFonts w:hint="eastAsia" w:cs="Times New Roman"/>
          <w:lang w:eastAsia="zh-CN"/>
        </w:rPr>
        <w:t>子</w:t>
      </w:r>
      <w:r>
        <w:rPr>
          <w:rFonts w:cs="Times New Roman"/>
        </w:rPr>
        <w:t>断面和韩家川断面。</w:t>
      </w:r>
      <w:r>
        <w:rPr>
          <w:rFonts w:hint="eastAsia" w:cs="Times New Roman"/>
        </w:rPr>
        <w:t>花园村和</w:t>
      </w:r>
      <w:r>
        <w:rPr>
          <w:rFonts w:cs="Times New Roman"/>
        </w:rPr>
        <w:t>韩家川村作为省考断面，</w:t>
      </w:r>
      <w:r>
        <w:rPr>
          <w:rFonts w:hint="eastAsia" w:cs="Times New Roman"/>
        </w:rPr>
        <w:t>其中</w:t>
      </w:r>
      <w:r>
        <w:rPr>
          <w:rFonts w:cs="Times New Roman"/>
        </w:rPr>
        <w:t>花园村</w:t>
      </w:r>
      <w:r>
        <w:rPr>
          <w:rFonts w:hint="eastAsia" w:cs="Times New Roman"/>
        </w:rPr>
        <w:t>现有</w:t>
      </w:r>
      <w:r>
        <w:rPr>
          <w:rFonts w:cs="Times New Roman"/>
        </w:rPr>
        <w:t>污水设施，需要整治扩容，韩家川村暂时没有污水处理设施，但是韩家川村</w:t>
      </w:r>
      <w:r>
        <w:rPr>
          <w:rFonts w:hint="eastAsia" w:cs="Times New Roman"/>
        </w:rPr>
        <w:t>2019年断</w:t>
      </w:r>
      <w:r>
        <w:rPr>
          <w:rFonts w:cs="Times New Roman"/>
        </w:rPr>
        <w:t>面考察监测指标</w:t>
      </w:r>
      <w:r>
        <w:rPr>
          <w:rFonts w:hint="eastAsia" w:cs="Times New Roman"/>
        </w:rPr>
        <w:t>均</w:t>
      </w:r>
      <w:r>
        <w:rPr>
          <w:rFonts w:cs="Times New Roman"/>
        </w:rPr>
        <w:t>达标且水质情况</w:t>
      </w:r>
      <w:r>
        <w:rPr>
          <w:rFonts w:hint="eastAsia" w:cs="Times New Roman"/>
        </w:rPr>
        <w:t>优于</w:t>
      </w:r>
      <w:r>
        <w:rPr>
          <w:rFonts w:cs="Times New Roman"/>
        </w:rPr>
        <w:t>花园村，</w:t>
      </w:r>
      <w:r>
        <w:rPr>
          <w:rFonts w:hint="eastAsia" w:cs="Times New Roman"/>
        </w:rPr>
        <w:t>而且</w:t>
      </w:r>
      <w:r>
        <w:rPr>
          <w:rFonts w:cs="Times New Roman"/>
        </w:rPr>
        <w:t>花园子和韩家川均处于沿河</w:t>
      </w:r>
      <w:r>
        <w:rPr>
          <w:rFonts w:hint="eastAsia" w:cs="Times New Roman"/>
          <w:lang w:val="en-US" w:eastAsia="zh-CN"/>
        </w:rPr>
        <w:t>3k</w:t>
      </w:r>
      <w:r>
        <w:rPr>
          <w:rFonts w:cs="Times New Roman"/>
        </w:rPr>
        <w:t>m的村落，考虑</w:t>
      </w:r>
      <w:r>
        <w:rPr>
          <w:rFonts w:hint="eastAsia" w:cs="Times New Roman"/>
        </w:rPr>
        <w:t>到</w:t>
      </w:r>
      <w:r>
        <w:rPr>
          <w:rFonts w:cs="Times New Roman"/>
        </w:rPr>
        <w:t>社会经济效益及</w:t>
      </w:r>
      <w:r>
        <w:rPr>
          <w:rFonts w:hint="eastAsia" w:cs="Times New Roman"/>
        </w:rPr>
        <w:t>现有</w:t>
      </w:r>
      <w:r>
        <w:rPr>
          <w:rFonts w:cs="Times New Roman"/>
        </w:rPr>
        <w:t>经济条件下环境治理效果</w:t>
      </w:r>
      <w:r>
        <w:rPr>
          <w:rFonts w:hint="eastAsia" w:cs="Times New Roman"/>
        </w:rPr>
        <w:t>已经</w:t>
      </w:r>
      <w:r>
        <w:rPr>
          <w:rFonts w:cs="Times New Roman"/>
        </w:rPr>
        <w:t>两地每天排污量</w:t>
      </w:r>
      <w:r>
        <w:rPr>
          <w:rFonts w:hint="eastAsia" w:cs="Times New Roman"/>
        </w:rPr>
        <w:t>，以及</w:t>
      </w:r>
      <w:r>
        <w:rPr>
          <w:rFonts w:cs="Times New Roman"/>
        </w:rPr>
        <w:t>花园子现有的排污处置条件，本次</w:t>
      </w:r>
      <w:r>
        <w:rPr>
          <w:rFonts w:hint="eastAsia" w:cs="Times New Roman"/>
        </w:rPr>
        <w:t>断</w:t>
      </w:r>
      <w:r>
        <w:rPr>
          <w:rFonts w:cs="Times New Roman"/>
        </w:rPr>
        <w:t>面选择花园</w:t>
      </w:r>
      <w:r>
        <w:rPr>
          <w:rFonts w:hint="eastAsia" w:cs="Times New Roman"/>
        </w:rPr>
        <w:t>村</w:t>
      </w:r>
      <w:r>
        <w:rPr>
          <w:rFonts w:cs="Times New Roman"/>
        </w:rPr>
        <w:t>作为本</w:t>
      </w:r>
      <w:r>
        <w:rPr>
          <w:rFonts w:hint="eastAsia" w:cs="Times New Roman"/>
        </w:rPr>
        <w:t>次断面排污措施</w:t>
      </w:r>
      <w:r>
        <w:rPr>
          <w:rFonts w:cs="Times New Roman"/>
        </w:rPr>
        <w:t>治理的重点。</w:t>
      </w:r>
    </w:p>
    <w:p>
      <w:pPr>
        <w:ind w:firstLine="480"/>
        <w:rPr>
          <w:rFonts w:cs="Times New Roman"/>
        </w:rPr>
      </w:pPr>
      <w:r>
        <w:rPr>
          <w:rFonts w:hint="eastAsia" w:cs="Times New Roman"/>
        </w:rPr>
        <w:t>（6）排污量</w:t>
      </w:r>
    </w:p>
    <w:p>
      <w:pPr>
        <w:ind w:firstLine="480"/>
        <w:rPr>
          <w:rFonts w:cs="Times New Roman"/>
        </w:rPr>
      </w:pPr>
      <w:r>
        <w:rPr>
          <w:rFonts w:hint="eastAsia" w:cs="Times New Roman"/>
        </w:rPr>
        <w:t>根据不同</w:t>
      </w:r>
      <w:r>
        <w:rPr>
          <w:rFonts w:cs="Times New Roman"/>
        </w:rPr>
        <w:t>村落的生产生活状况，对不同类型的村落进行了排污量的调研排查，</w:t>
      </w:r>
      <w:r>
        <w:rPr>
          <w:rFonts w:hint="eastAsia" w:cs="Times New Roman"/>
        </w:rPr>
        <w:t>本次</w:t>
      </w:r>
      <w:r>
        <w:rPr>
          <w:rFonts w:cs="Times New Roman"/>
        </w:rPr>
        <w:t>规划重点</w:t>
      </w:r>
      <w:r>
        <w:rPr>
          <w:rFonts w:hint="eastAsia" w:cs="Times New Roman"/>
        </w:rPr>
        <w:t>将</w:t>
      </w:r>
      <w:r>
        <w:rPr>
          <w:rFonts w:cs="Times New Roman"/>
        </w:rPr>
        <w:t>充分考虑排污量大</w:t>
      </w:r>
      <w:r>
        <w:rPr>
          <w:rFonts w:hint="eastAsia" w:cs="Times New Roman"/>
        </w:rPr>
        <w:t>、</w:t>
      </w:r>
      <w:r>
        <w:rPr>
          <w:rFonts w:cs="Times New Roman"/>
        </w:rPr>
        <w:t>生活污水处置设施不齐备而造成环境压力较大的</w:t>
      </w:r>
      <w:r>
        <w:rPr>
          <w:rFonts w:hint="eastAsia" w:cs="Times New Roman"/>
        </w:rPr>
        <w:t>村庄。尤其</w:t>
      </w:r>
      <w:r>
        <w:rPr>
          <w:rFonts w:cs="Times New Roman"/>
        </w:rPr>
        <w:t>是一切人</w:t>
      </w:r>
      <w:r>
        <w:rPr>
          <w:rFonts w:hint="eastAsia" w:cs="Times New Roman"/>
        </w:rPr>
        <w:t>口</w:t>
      </w:r>
      <w:r>
        <w:rPr>
          <w:rFonts w:cs="Times New Roman"/>
        </w:rPr>
        <w:t>集中、周边有环境敏感区或者重点的环境保护区域等。</w:t>
      </w:r>
    </w:p>
    <w:p>
      <w:pPr>
        <w:ind w:firstLine="476" w:firstLineChars="0"/>
        <w:rPr>
          <w:rFonts w:cs="Times New Roman"/>
        </w:rPr>
      </w:pPr>
      <w:r>
        <w:rPr>
          <w:rFonts w:cs="Times New Roman"/>
        </w:rPr>
        <w:t>综上，本次规划需开展污水治理的村庄共1</w:t>
      </w:r>
      <w:r>
        <w:rPr>
          <w:rFonts w:hint="eastAsia" w:cs="Times New Roman"/>
          <w:lang w:val="en-US" w:eastAsia="zh-CN"/>
        </w:rPr>
        <w:t>1</w:t>
      </w:r>
      <w:r>
        <w:rPr>
          <w:rFonts w:cs="Times New Roman"/>
        </w:rPr>
        <w:t>个，根据多因素分析，确定了不同治理村庄的优先等级，详见表4-4。</w:t>
      </w:r>
    </w:p>
    <w:p>
      <w:pPr>
        <w:ind w:firstLine="476" w:firstLineChars="0"/>
        <w:rPr>
          <w:rFonts w:cs="Times New Roman"/>
        </w:rPr>
      </w:pPr>
    </w:p>
    <w:p>
      <w:pPr>
        <w:ind w:firstLine="0" w:firstLineChars="0"/>
        <w:rPr>
          <w:rFonts w:cs="Times New Roman"/>
        </w:rPr>
      </w:pPr>
    </w:p>
    <w:p>
      <w:pPr>
        <w:ind w:firstLine="0" w:firstLineChars="0"/>
        <w:rPr>
          <w:rFonts w:cs="Times New Roman"/>
        </w:rPr>
        <w:sectPr>
          <w:pgSz w:w="11906" w:h="16838"/>
          <w:pgMar w:top="1361" w:right="1531" w:bottom="1361" w:left="1531" w:header="851" w:footer="992" w:gutter="0"/>
          <w:cols w:space="425" w:num="1"/>
          <w:docGrid w:type="lines" w:linePitch="326" w:charSpace="0"/>
        </w:sectPr>
      </w:pPr>
    </w:p>
    <w:p>
      <w:pPr>
        <w:pStyle w:val="16"/>
        <w:ind w:firstLine="420"/>
        <w:rPr>
          <w:rFonts w:eastAsia="黑体" w:cs="Times New Roman"/>
          <w:b w:val="0"/>
          <w:bCs/>
        </w:rPr>
      </w:pPr>
      <w:r>
        <w:rPr>
          <w:rFonts w:eastAsia="黑体" w:cs="Times New Roman"/>
          <w:b w:val="0"/>
          <w:bCs/>
        </w:rPr>
        <w:t>表4-4  保德县农村生活污水治理村庄</w:t>
      </w:r>
    </w:p>
    <w:tbl>
      <w:tblPr>
        <w:tblStyle w:val="29"/>
        <w:tblW w:w="4934" w:type="pct"/>
        <w:tblInd w:w="0" w:type="dxa"/>
        <w:tblLayout w:type="autofit"/>
        <w:tblCellMar>
          <w:top w:w="0" w:type="dxa"/>
          <w:left w:w="108" w:type="dxa"/>
          <w:bottom w:w="0" w:type="dxa"/>
          <w:right w:w="108" w:type="dxa"/>
        </w:tblCellMar>
      </w:tblPr>
      <w:tblGrid>
        <w:gridCol w:w="636"/>
        <w:gridCol w:w="1056"/>
        <w:gridCol w:w="1266"/>
        <w:gridCol w:w="846"/>
        <w:gridCol w:w="1723"/>
        <w:gridCol w:w="1723"/>
        <w:gridCol w:w="1723"/>
        <w:gridCol w:w="1723"/>
        <w:gridCol w:w="1726"/>
        <w:gridCol w:w="1721"/>
      </w:tblGrid>
      <w:tr>
        <w:tblPrEx>
          <w:tblCellMar>
            <w:top w:w="0" w:type="dxa"/>
            <w:left w:w="108" w:type="dxa"/>
            <w:bottom w:w="0" w:type="dxa"/>
            <w:right w:w="108" w:type="dxa"/>
          </w:tblCellMar>
        </w:tblPrEx>
        <w:trPr>
          <w:trHeight w:val="351" w:hRule="atLeast"/>
          <w:tblHeader/>
        </w:trPr>
        <w:tc>
          <w:tcPr>
            <w:tcW w:w="224" w:type="pct"/>
            <w:vMerge w:val="restart"/>
            <w:tcBorders>
              <w:top w:val="single" w:color="auto" w:sz="4" w:space="0"/>
              <w:left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bookmarkStart w:id="37" w:name="_Hlk25693361"/>
            <w:r>
              <w:rPr>
                <w:rFonts w:eastAsia="黑体" w:cs="Times New Roman"/>
                <w:kern w:val="0"/>
                <w:sz w:val="21"/>
                <w:szCs w:val="21"/>
              </w:rPr>
              <w:t>序号</w:t>
            </w:r>
          </w:p>
        </w:tc>
        <w:tc>
          <w:tcPr>
            <w:tcW w:w="373" w:type="pct"/>
            <w:vMerge w:val="restart"/>
            <w:tcBorders>
              <w:top w:val="single" w:color="auto" w:sz="4" w:space="0"/>
              <w:left w:val="nil"/>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乡镇</w:t>
            </w:r>
          </w:p>
        </w:tc>
        <w:tc>
          <w:tcPr>
            <w:tcW w:w="447" w:type="pct"/>
            <w:vMerge w:val="restart"/>
            <w:tcBorders>
              <w:top w:val="single" w:color="auto" w:sz="4" w:space="0"/>
              <w:left w:val="nil"/>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299" w:type="pct"/>
            <w:vMerge w:val="restart"/>
            <w:tcBorders>
              <w:top w:val="single" w:color="auto" w:sz="4" w:space="0"/>
              <w:left w:val="nil"/>
              <w:right w:val="nil"/>
            </w:tcBorders>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人口数（人）</w:t>
            </w:r>
          </w:p>
        </w:tc>
        <w:tc>
          <w:tcPr>
            <w:tcW w:w="3046" w:type="pct"/>
            <w:gridSpan w:val="5"/>
            <w:tcBorders>
              <w:top w:val="single" w:color="auto" w:sz="4" w:space="0"/>
              <w:left w:val="single" w:color="auto" w:sz="4" w:space="0"/>
              <w:right w:val="single" w:color="auto" w:sz="4" w:space="0"/>
            </w:tcBorders>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选择原因</w:t>
            </w:r>
          </w:p>
        </w:tc>
        <w:tc>
          <w:tcPr>
            <w:tcW w:w="608" w:type="pct"/>
            <w:vMerge w:val="restart"/>
            <w:tcBorders>
              <w:top w:val="single" w:color="auto" w:sz="4" w:space="0"/>
              <w:left w:val="single" w:color="auto" w:sz="4" w:space="0"/>
              <w:right w:val="single" w:color="auto" w:sz="4" w:space="0"/>
            </w:tcBorders>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优先等级</w:t>
            </w:r>
          </w:p>
        </w:tc>
      </w:tr>
      <w:tr>
        <w:tblPrEx>
          <w:tblCellMar>
            <w:top w:w="0" w:type="dxa"/>
            <w:left w:w="108" w:type="dxa"/>
            <w:bottom w:w="0" w:type="dxa"/>
            <w:right w:w="108" w:type="dxa"/>
          </w:tblCellMar>
        </w:tblPrEx>
        <w:trPr>
          <w:trHeight w:val="351" w:hRule="atLeast"/>
          <w:tblHeader/>
        </w:trPr>
        <w:tc>
          <w:tcPr>
            <w:tcW w:w="224" w:type="pct"/>
            <w:vMerge w:val="continue"/>
            <w:tcBorders>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p>
        </w:tc>
        <w:tc>
          <w:tcPr>
            <w:tcW w:w="373" w:type="pct"/>
            <w:vMerge w:val="continue"/>
            <w:tcBorders>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p>
        </w:tc>
        <w:tc>
          <w:tcPr>
            <w:tcW w:w="447" w:type="pct"/>
            <w:vMerge w:val="continue"/>
            <w:tcBorders>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p>
        </w:tc>
        <w:tc>
          <w:tcPr>
            <w:tcW w:w="299" w:type="pct"/>
            <w:vMerge w:val="continue"/>
            <w:tcBorders>
              <w:left w:val="nil"/>
              <w:bottom w:val="single" w:color="auto" w:sz="4" w:space="0"/>
              <w:right w:val="nil"/>
            </w:tcBorders>
            <w:vAlign w:val="center"/>
          </w:tcPr>
          <w:p>
            <w:pPr>
              <w:widowControl/>
              <w:spacing w:line="240" w:lineRule="auto"/>
              <w:ind w:firstLine="0" w:firstLineChars="0"/>
              <w:jc w:val="center"/>
              <w:rPr>
                <w:rFonts w:eastAsia="黑体" w:cs="Times New Roman"/>
                <w:kern w:val="0"/>
                <w:sz w:val="21"/>
                <w:szCs w:val="21"/>
              </w:rPr>
            </w:pPr>
          </w:p>
        </w:tc>
        <w:tc>
          <w:tcPr>
            <w:tcW w:w="609"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黑体" w:cs="Times New Roman"/>
                <w:kern w:val="0"/>
                <w:sz w:val="21"/>
                <w:szCs w:val="21"/>
              </w:rPr>
            </w:pPr>
            <w:r>
              <w:rPr>
                <w:rFonts w:hint="eastAsia" w:eastAsia="黑体" w:cs="Times New Roman"/>
                <w:kern w:val="0"/>
                <w:sz w:val="21"/>
                <w:szCs w:val="21"/>
              </w:rPr>
              <w:t>常住人口/500</w:t>
            </w:r>
          </w:p>
        </w:tc>
        <w:tc>
          <w:tcPr>
            <w:tcW w:w="609"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水源地</w:t>
            </w:r>
          </w:p>
        </w:tc>
        <w:tc>
          <w:tcPr>
            <w:tcW w:w="609" w:type="pct"/>
            <w:tcBorders>
              <w:top w:val="single" w:color="auto" w:sz="4" w:space="0"/>
              <w:left w:val="single" w:color="auto" w:sz="4" w:space="0"/>
              <w:bottom w:val="single" w:color="auto" w:sz="4" w:space="0"/>
              <w:right w:val="single" w:color="auto" w:sz="4" w:space="0"/>
            </w:tcBorders>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河道两岸/</w:t>
            </w:r>
            <w:r>
              <w:rPr>
                <w:rFonts w:hint="eastAsia" w:eastAsia="黑体" w:cs="Times New Roman"/>
                <w:kern w:val="0"/>
                <w:sz w:val="21"/>
                <w:szCs w:val="21"/>
                <w:lang w:val="en-US" w:eastAsia="zh-CN"/>
              </w:rPr>
              <w:t>3k</w:t>
            </w:r>
            <w:r>
              <w:rPr>
                <w:rFonts w:eastAsia="黑体" w:cs="Times New Roman"/>
                <w:kern w:val="0"/>
                <w:sz w:val="21"/>
                <w:szCs w:val="21"/>
              </w:rPr>
              <w:t xml:space="preserve">m </w:t>
            </w:r>
          </w:p>
        </w:tc>
        <w:tc>
          <w:tcPr>
            <w:tcW w:w="609"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乡镇所在地</w:t>
            </w:r>
          </w:p>
        </w:tc>
        <w:tc>
          <w:tcPr>
            <w:tcW w:w="610"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考核断面</w:t>
            </w:r>
          </w:p>
        </w:tc>
        <w:tc>
          <w:tcPr>
            <w:tcW w:w="608" w:type="pct"/>
            <w:vMerge w:val="continue"/>
            <w:tcBorders>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黑体" w:cs="Times New Roman"/>
                <w:kern w:val="0"/>
                <w:sz w:val="21"/>
                <w:szCs w:val="21"/>
              </w:rPr>
            </w:pPr>
          </w:p>
        </w:tc>
      </w:tr>
      <w:tr>
        <w:tblPrEx>
          <w:tblCellMar>
            <w:top w:w="0" w:type="dxa"/>
            <w:left w:w="108" w:type="dxa"/>
            <w:bottom w:w="0" w:type="dxa"/>
            <w:right w:w="108" w:type="dxa"/>
          </w:tblCellMar>
        </w:tblPrEx>
        <w:trPr>
          <w:trHeight w:val="301" w:hRule="atLeast"/>
        </w:trPr>
        <w:tc>
          <w:tcPr>
            <w:tcW w:w="224"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1</w:t>
            </w:r>
          </w:p>
        </w:tc>
        <w:tc>
          <w:tcPr>
            <w:tcW w:w="373"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4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郭家滩村</w:t>
            </w:r>
          </w:p>
        </w:tc>
        <w:tc>
          <w:tcPr>
            <w:tcW w:w="299" w:type="pct"/>
            <w:tcBorders>
              <w:top w:val="single" w:color="auto" w:sz="4" w:space="0"/>
              <w:left w:val="nil"/>
              <w:bottom w:val="single" w:color="auto" w:sz="4" w:space="0"/>
              <w:right w:val="nil"/>
            </w:tcBorders>
            <w:vAlign w:val="center"/>
          </w:tcPr>
          <w:p>
            <w:pPr>
              <w:spacing w:line="240" w:lineRule="auto"/>
              <w:ind w:firstLine="0" w:firstLineChars="0"/>
              <w:jc w:val="center"/>
              <w:rPr>
                <w:rFonts w:cs="Times New Roman"/>
                <w:sz w:val="21"/>
                <w:szCs w:val="21"/>
              </w:rPr>
            </w:pPr>
            <w:r>
              <w:rPr>
                <w:rFonts w:cs="Times New Roman"/>
                <w:sz w:val="21"/>
                <w:szCs w:val="21"/>
              </w:rPr>
              <w:t>5800</w:t>
            </w: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w:t>
            </w: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09" w:type="pct"/>
            <w:tcBorders>
              <w:top w:val="nil"/>
              <w:left w:val="single" w:color="auto" w:sz="4" w:space="0"/>
              <w:bottom w:val="single" w:color="auto" w:sz="4" w:space="0"/>
              <w:right w:val="single" w:color="auto" w:sz="4" w:space="0"/>
            </w:tcBorders>
          </w:tcPr>
          <w:p>
            <w:pPr>
              <w:spacing w:line="240" w:lineRule="auto"/>
              <w:ind w:firstLine="0" w:firstLineChars="0"/>
              <w:jc w:val="center"/>
              <w:rPr>
                <w:rFonts w:cs="Times New Roman"/>
                <w:sz w:val="21"/>
                <w:szCs w:val="21"/>
              </w:rPr>
            </w:pPr>
            <w:r>
              <w:rPr>
                <w:rFonts w:cs="Times New Roman"/>
                <w:sz w:val="21"/>
                <w:szCs w:val="21"/>
              </w:rPr>
              <w:t>√</w:t>
            </w:r>
          </w:p>
        </w:tc>
        <w:tc>
          <w:tcPr>
            <w:tcW w:w="609"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w:t>
            </w:r>
          </w:p>
        </w:tc>
        <w:tc>
          <w:tcPr>
            <w:tcW w:w="610"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08"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优先</w:t>
            </w:r>
          </w:p>
        </w:tc>
      </w:tr>
      <w:tr>
        <w:tblPrEx>
          <w:tblCellMar>
            <w:top w:w="0" w:type="dxa"/>
            <w:left w:w="108" w:type="dxa"/>
            <w:bottom w:w="0" w:type="dxa"/>
            <w:right w:w="108" w:type="dxa"/>
          </w:tblCellMar>
        </w:tblPrEx>
        <w:trPr>
          <w:trHeight w:val="301" w:hRule="atLeast"/>
        </w:trPr>
        <w:tc>
          <w:tcPr>
            <w:tcW w:w="224"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2</w:t>
            </w:r>
          </w:p>
        </w:tc>
        <w:tc>
          <w:tcPr>
            <w:tcW w:w="373"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4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铁匠铺村</w:t>
            </w:r>
          </w:p>
        </w:tc>
        <w:tc>
          <w:tcPr>
            <w:tcW w:w="299" w:type="pct"/>
            <w:tcBorders>
              <w:top w:val="single" w:color="auto" w:sz="4" w:space="0"/>
              <w:left w:val="nil"/>
              <w:bottom w:val="single" w:color="auto" w:sz="4" w:space="0"/>
              <w:right w:val="nil"/>
            </w:tcBorders>
            <w:vAlign w:val="center"/>
          </w:tcPr>
          <w:p>
            <w:pPr>
              <w:spacing w:line="240" w:lineRule="auto"/>
              <w:ind w:firstLine="0" w:firstLineChars="0"/>
              <w:jc w:val="center"/>
              <w:rPr>
                <w:rFonts w:cs="Times New Roman"/>
                <w:sz w:val="21"/>
                <w:szCs w:val="21"/>
              </w:rPr>
            </w:pPr>
            <w:r>
              <w:rPr>
                <w:rFonts w:cs="Times New Roman"/>
                <w:sz w:val="21"/>
                <w:szCs w:val="21"/>
              </w:rPr>
              <w:t>1800</w:t>
            </w: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w:t>
            </w: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w:t>
            </w:r>
          </w:p>
        </w:tc>
        <w:tc>
          <w:tcPr>
            <w:tcW w:w="609" w:type="pct"/>
            <w:tcBorders>
              <w:top w:val="nil"/>
              <w:left w:val="single" w:color="auto" w:sz="4" w:space="0"/>
              <w:bottom w:val="single" w:color="auto" w:sz="4" w:space="0"/>
              <w:right w:val="single" w:color="auto" w:sz="4" w:space="0"/>
            </w:tcBorders>
          </w:tcPr>
          <w:p>
            <w:pPr>
              <w:spacing w:line="240" w:lineRule="auto"/>
              <w:ind w:firstLine="0" w:firstLineChars="0"/>
              <w:jc w:val="center"/>
              <w:rPr>
                <w:rFonts w:cs="Times New Roman"/>
                <w:sz w:val="21"/>
                <w:szCs w:val="21"/>
              </w:rPr>
            </w:pPr>
            <w:r>
              <w:rPr>
                <w:rFonts w:cs="Times New Roman"/>
                <w:sz w:val="21"/>
                <w:szCs w:val="21"/>
              </w:rPr>
              <w:t>√</w:t>
            </w:r>
          </w:p>
        </w:tc>
        <w:tc>
          <w:tcPr>
            <w:tcW w:w="609"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10"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08"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优先</w:t>
            </w:r>
          </w:p>
        </w:tc>
      </w:tr>
      <w:tr>
        <w:tblPrEx>
          <w:tblCellMar>
            <w:top w:w="0" w:type="dxa"/>
            <w:left w:w="108" w:type="dxa"/>
            <w:bottom w:w="0" w:type="dxa"/>
            <w:right w:w="108" w:type="dxa"/>
          </w:tblCellMar>
        </w:tblPrEx>
        <w:trPr>
          <w:trHeight w:val="301" w:hRule="atLeast"/>
        </w:trPr>
        <w:tc>
          <w:tcPr>
            <w:tcW w:w="224"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3</w:t>
            </w:r>
          </w:p>
        </w:tc>
        <w:tc>
          <w:tcPr>
            <w:tcW w:w="373"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4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马家滩</w:t>
            </w:r>
            <w:r>
              <w:rPr>
                <w:rFonts w:cs="Times New Roman"/>
                <w:sz w:val="21"/>
                <w:szCs w:val="21"/>
              </w:rPr>
              <w:t>村</w:t>
            </w:r>
          </w:p>
        </w:tc>
        <w:tc>
          <w:tcPr>
            <w:tcW w:w="299" w:type="pct"/>
            <w:tcBorders>
              <w:top w:val="single" w:color="auto" w:sz="4" w:space="0"/>
              <w:left w:val="nil"/>
              <w:bottom w:val="single" w:color="auto" w:sz="4" w:space="0"/>
              <w:right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5600</w:t>
            </w: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w:t>
            </w: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09"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w:t>
            </w:r>
          </w:p>
        </w:tc>
        <w:tc>
          <w:tcPr>
            <w:tcW w:w="609"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10"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08"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优先</w:t>
            </w:r>
          </w:p>
        </w:tc>
      </w:tr>
      <w:tr>
        <w:tblPrEx>
          <w:tblCellMar>
            <w:top w:w="0" w:type="dxa"/>
            <w:left w:w="108" w:type="dxa"/>
            <w:bottom w:w="0" w:type="dxa"/>
            <w:right w:w="108" w:type="dxa"/>
          </w:tblCellMar>
        </w:tblPrEx>
        <w:trPr>
          <w:trHeight w:val="301" w:hRule="atLeast"/>
        </w:trPr>
        <w:tc>
          <w:tcPr>
            <w:tcW w:w="224"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4</w:t>
            </w:r>
          </w:p>
        </w:tc>
        <w:tc>
          <w:tcPr>
            <w:tcW w:w="373"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4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王家滩村</w:t>
            </w:r>
          </w:p>
        </w:tc>
        <w:tc>
          <w:tcPr>
            <w:tcW w:w="299" w:type="pct"/>
            <w:tcBorders>
              <w:top w:val="single" w:color="auto" w:sz="4" w:space="0"/>
              <w:left w:val="nil"/>
              <w:bottom w:val="single" w:color="auto" w:sz="4" w:space="0"/>
              <w:right w:val="nil"/>
            </w:tcBorders>
            <w:vAlign w:val="center"/>
          </w:tcPr>
          <w:p>
            <w:pPr>
              <w:spacing w:line="240" w:lineRule="auto"/>
              <w:ind w:firstLine="0" w:firstLineChars="0"/>
              <w:jc w:val="center"/>
              <w:rPr>
                <w:rFonts w:cs="Times New Roman"/>
                <w:sz w:val="21"/>
                <w:szCs w:val="21"/>
              </w:rPr>
            </w:pPr>
            <w:r>
              <w:rPr>
                <w:rFonts w:cs="Times New Roman"/>
                <w:sz w:val="21"/>
                <w:szCs w:val="21"/>
              </w:rPr>
              <w:t>2300</w:t>
            </w: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w:t>
            </w: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09"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w:t>
            </w:r>
          </w:p>
        </w:tc>
        <w:tc>
          <w:tcPr>
            <w:tcW w:w="609"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10"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08"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一般</w:t>
            </w:r>
          </w:p>
        </w:tc>
      </w:tr>
      <w:tr>
        <w:tblPrEx>
          <w:tblCellMar>
            <w:top w:w="0" w:type="dxa"/>
            <w:left w:w="108" w:type="dxa"/>
            <w:bottom w:w="0" w:type="dxa"/>
            <w:right w:w="108" w:type="dxa"/>
          </w:tblCellMar>
        </w:tblPrEx>
        <w:trPr>
          <w:trHeight w:val="301" w:hRule="atLeast"/>
        </w:trPr>
        <w:tc>
          <w:tcPr>
            <w:tcW w:w="224"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5</w:t>
            </w:r>
          </w:p>
        </w:tc>
        <w:tc>
          <w:tcPr>
            <w:tcW w:w="373"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4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张家圪塔村</w:t>
            </w:r>
          </w:p>
        </w:tc>
        <w:tc>
          <w:tcPr>
            <w:tcW w:w="299" w:type="pct"/>
            <w:tcBorders>
              <w:top w:val="single" w:color="auto" w:sz="4" w:space="0"/>
              <w:left w:val="nil"/>
              <w:bottom w:val="single" w:color="auto" w:sz="4" w:space="0"/>
              <w:right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690</w:t>
            </w: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w:t>
            </w: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09" w:type="pct"/>
            <w:tcBorders>
              <w:top w:val="nil"/>
              <w:left w:val="single" w:color="auto" w:sz="4" w:space="0"/>
              <w:bottom w:val="single" w:color="auto" w:sz="4" w:space="0"/>
              <w:right w:val="single" w:color="auto" w:sz="4" w:space="0"/>
            </w:tcBorders>
          </w:tcPr>
          <w:p>
            <w:pPr>
              <w:spacing w:line="240" w:lineRule="auto"/>
              <w:ind w:firstLine="0" w:firstLineChars="0"/>
              <w:jc w:val="center"/>
              <w:rPr>
                <w:rFonts w:cs="Times New Roman"/>
                <w:sz w:val="21"/>
                <w:szCs w:val="21"/>
              </w:rPr>
            </w:pPr>
            <w:r>
              <w:rPr>
                <w:rFonts w:hint="eastAsia" w:cs="Times New Roman"/>
                <w:sz w:val="21"/>
                <w:szCs w:val="21"/>
              </w:rPr>
              <w:t>√</w:t>
            </w:r>
          </w:p>
        </w:tc>
        <w:tc>
          <w:tcPr>
            <w:tcW w:w="609"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10"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08"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一般</w:t>
            </w:r>
          </w:p>
        </w:tc>
      </w:tr>
      <w:tr>
        <w:tblPrEx>
          <w:tblCellMar>
            <w:top w:w="0" w:type="dxa"/>
            <w:left w:w="108" w:type="dxa"/>
            <w:bottom w:w="0" w:type="dxa"/>
            <w:right w:w="108" w:type="dxa"/>
          </w:tblCellMar>
        </w:tblPrEx>
        <w:trPr>
          <w:trHeight w:val="301" w:hRule="atLeast"/>
        </w:trPr>
        <w:tc>
          <w:tcPr>
            <w:tcW w:w="224"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cs="Times New Roman"/>
                <w:sz w:val="21"/>
                <w:szCs w:val="21"/>
                <w:lang w:val="en-US" w:eastAsia="zh-CN"/>
              </w:rPr>
              <w:t>6</w:t>
            </w:r>
          </w:p>
        </w:tc>
        <w:tc>
          <w:tcPr>
            <w:tcW w:w="373"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cs="Times New Roman"/>
                <w:sz w:val="21"/>
                <w:szCs w:val="21"/>
              </w:rPr>
              <w:t>杨家湾镇</w:t>
            </w:r>
          </w:p>
        </w:tc>
        <w:tc>
          <w:tcPr>
            <w:tcW w:w="4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cs="Times New Roman"/>
                <w:sz w:val="21"/>
                <w:szCs w:val="21"/>
              </w:rPr>
              <w:t>花园村</w:t>
            </w:r>
          </w:p>
        </w:tc>
        <w:tc>
          <w:tcPr>
            <w:tcW w:w="299" w:type="pct"/>
            <w:tcBorders>
              <w:top w:val="single" w:color="auto" w:sz="4" w:space="0"/>
              <w:left w:val="nil"/>
              <w:bottom w:val="single" w:color="auto" w:sz="4" w:space="0"/>
              <w:right w:val="nil"/>
            </w:tcBorders>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cs="Times New Roman"/>
                <w:sz w:val="21"/>
                <w:szCs w:val="21"/>
              </w:rPr>
              <w:t>400</w:t>
            </w: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p>
        </w:tc>
        <w:tc>
          <w:tcPr>
            <w:tcW w:w="609"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cs="Times New Roman"/>
                <w:sz w:val="21"/>
                <w:szCs w:val="21"/>
              </w:rPr>
              <w:t>√</w:t>
            </w:r>
          </w:p>
        </w:tc>
        <w:tc>
          <w:tcPr>
            <w:tcW w:w="609"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p>
        </w:tc>
        <w:tc>
          <w:tcPr>
            <w:tcW w:w="610"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cs="Times New Roman"/>
                <w:sz w:val="21"/>
                <w:szCs w:val="21"/>
              </w:rPr>
              <w:t>√</w:t>
            </w:r>
          </w:p>
        </w:tc>
        <w:tc>
          <w:tcPr>
            <w:tcW w:w="608" w:type="pct"/>
            <w:tcBorders>
              <w:top w:val="nil"/>
              <w:left w:val="single" w:color="auto" w:sz="4" w:space="0"/>
              <w:bottom w:val="single" w:color="auto" w:sz="4" w:space="0"/>
              <w:right w:val="single" w:color="auto" w:sz="4" w:space="0"/>
            </w:tcBorders>
            <w:vAlign w:val="top"/>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cs="Times New Roman"/>
                <w:sz w:val="21"/>
                <w:szCs w:val="21"/>
              </w:rPr>
              <w:t>优先</w:t>
            </w:r>
          </w:p>
        </w:tc>
      </w:tr>
      <w:tr>
        <w:tblPrEx>
          <w:tblCellMar>
            <w:top w:w="0" w:type="dxa"/>
            <w:left w:w="108" w:type="dxa"/>
            <w:bottom w:w="0" w:type="dxa"/>
            <w:right w:w="108" w:type="dxa"/>
          </w:tblCellMar>
        </w:tblPrEx>
        <w:trPr>
          <w:trHeight w:val="301" w:hRule="atLeast"/>
        </w:trPr>
        <w:tc>
          <w:tcPr>
            <w:tcW w:w="224"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eastAsia="宋体" w:cs="Times New Roman"/>
                <w:sz w:val="21"/>
                <w:szCs w:val="21"/>
                <w:lang w:eastAsia="zh-CN"/>
              </w:rPr>
            </w:pPr>
            <w:r>
              <w:rPr>
                <w:rFonts w:hint="eastAsia" w:cs="Times New Roman"/>
                <w:sz w:val="21"/>
                <w:szCs w:val="21"/>
                <w:lang w:val="en-US" w:eastAsia="zh-CN"/>
              </w:rPr>
              <w:t>7</w:t>
            </w:r>
          </w:p>
        </w:tc>
        <w:tc>
          <w:tcPr>
            <w:tcW w:w="373"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义门镇</w:t>
            </w:r>
          </w:p>
        </w:tc>
        <w:tc>
          <w:tcPr>
            <w:tcW w:w="4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刘家畔村</w:t>
            </w:r>
          </w:p>
        </w:tc>
        <w:tc>
          <w:tcPr>
            <w:tcW w:w="299" w:type="pct"/>
            <w:tcBorders>
              <w:top w:val="single" w:color="auto" w:sz="4" w:space="0"/>
              <w:left w:val="nil"/>
              <w:bottom w:val="single" w:color="auto" w:sz="4" w:space="0"/>
              <w:right w:val="nil"/>
            </w:tcBorders>
            <w:vAlign w:val="center"/>
          </w:tcPr>
          <w:p>
            <w:pPr>
              <w:spacing w:line="240" w:lineRule="auto"/>
              <w:ind w:firstLine="0" w:firstLineChars="0"/>
              <w:jc w:val="center"/>
              <w:rPr>
                <w:rFonts w:cs="Times New Roman"/>
                <w:sz w:val="21"/>
                <w:szCs w:val="21"/>
              </w:rPr>
            </w:pPr>
            <w:r>
              <w:rPr>
                <w:rFonts w:cs="Times New Roman"/>
                <w:sz w:val="21"/>
                <w:szCs w:val="21"/>
              </w:rPr>
              <w:t>350</w:t>
            </w: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09" w:type="pct"/>
            <w:tcBorders>
              <w:top w:val="nil"/>
              <w:left w:val="single" w:color="auto" w:sz="4" w:space="0"/>
              <w:bottom w:val="single" w:color="auto" w:sz="4" w:space="0"/>
              <w:right w:val="single" w:color="auto" w:sz="4" w:space="0"/>
            </w:tcBorders>
          </w:tcPr>
          <w:p>
            <w:pPr>
              <w:spacing w:line="240" w:lineRule="auto"/>
              <w:ind w:firstLine="0" w:firstLineChars="0"/>
              <w:jc w:val="center"/>
              <w:rPr>
                <w:rFonts w:cs="Times New Roman"/>
                <w:sz w:val="21"/>
                <w:szCs w:val="21"/>
              </w:rPr>
            </w:pPr>
            <w:r>
              <w:rPr>
                <w:rFonts w:cs="Times New Roman"/>
                <w:sz w:val="21"/>
                <w:szCs w:val="21"/>
              </w:rPr>
              <w:t>√</w:t>
            </w:r>
          </w:p>
        </w:tc>
        <w:tc>
          <w:tcPr>
            <w:tcW w:w="609"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10"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08"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hint="eastAsia" w:eastAsia="宋体" w:cs="Times New Roman"/>
                <w:sz w:val="21"/>
                <w:szCs w:val="21"/>
                <w:lang w:eastAsia="zh-CN"/>
              </w:rPr>
            </w:pPr>
            <w:r>
              <w:rPr>
                <w:rFonts w:hint="eastAsia" w:cs="Times New Roman"/>
                <w:sz w:val="21"/>
                <w:szCs w:val="21"/>
                <w:lang w:eastAsia="zh-CN"/>
              </w:rPr>
              <w:t>一般</w:t>
            </w:r>
          </w:p>
        </w:tc>
      </w:tr>
      <w:tr>
        <w:tblPrEx>
          <w:tblCellMar>
            <w:top w:w="0" w:type="dxa"/>
            <w:left w:w="108" w:type="dxa"/>
            <w:bottom w:w="0" w:type="dxa"/>
            <w:right w:w="108" w:type="dxa"/>
          </w:tblCellMar>
        </w:tblPrEx>
        <w:trPr>
          <w:trHeight w:val="301" w:hRule="atLeast"/>
        </w:trPr>
        <w:tc>
          <w:tcPr>
            <w:tcW w:w="224"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eastAsia="宋体" w:cs="Times New Roman"/>
                <w:sz w:val="21"/>
                <w:szCs w:val="21"/>
                <w:lang w:eastAsia="zh-CN"/>
              </w:rPr>
            </w:pPr>
            <w:r>
              <w:rPr>
                <w:rFonts w:hint="eastAsia" w:cs="Times New Roman"/>
                <w:sz w:val="21"/>
                <w:szCs w:val="21"/>
                <w:lang w:val="en-US" w:eastAsia="zh-CN"/>
              </w:rPr>
              <w:t>8</w:t>
            </w:r>
          </w:p>
        </w:tc>
        <w:tc>
          <w:tcPr>
            <w:tcW w:w="373"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桥头镇</w:t>
            </w:r>
          </w:p>
        </w:tc>
        <w:tc>
          <w:tcPr>
            <w:tcW w:w="4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夏柳青村</w:t>
            </w:r>
          </w:p>
        </w:tc>
        <w:tc>
          <w:tcPr>
            <w:tcW w:w="299" w:type="pct"/>
            <w:tcBorders>
              <w:top w:val="single" w:color="auto" w:sz="4" w:space="0"/>
              <w:left w:val="nil"/>
              <w:bottom w:val="single" w:color="auto" w:sz="4" w:space="0"/>
              <w:right w:val="nil"/>
            </w:tcBorders>
            <w:vAlign w:val="center"/>
          </w:tcPr>
          <w:p>
            <w:pPr>
              <w:spacing w:line="240" w:lineRule="auto"/>
              <w:ind w:firstLine="0" w:firstLineChars="0"/>
              <w:jc w:val="center"/>
              <w:rPr>
                <w:rFonts w:cs="Times New Roman"/>
                <w:sz w:val="21"/>
                <w:szCs w:val="21"/>
              </w:rPr>
            </w:pPr>
            <w:r>
              <w:rPr>
                <w:rFonts w:cs="Times New Roman"/>
                <w:sz w:val="21"/>
                <w:szCs w:val="21"/>
              </w:rPr>
              <w:t>620</w:t>
            </w: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w:t>
            </w: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09" w:type="pct"/>
            <w:tcBorders>
              <w:top w:val="nil"/>
              <w:left w:val="single" w:color="auto" w:sz="4" w:space="0"/>
              <w:bottom w:val="single" w:color="auto" w:sz="4" w:space="0"/>
              <w:right w:val="single" w:color="auto" w:sz="4" w:space="0"/>
            </w:tcBorders>
          </w:tcPr>
          <w:p>
            <w:pPr>
              <w:spacing w:line="240" w:lineRule="auto"/>
              <w:ind w:firstLine="0" w:firstLineChars="0"/>
              <w:jc w:val="center"/>
              <w:rPr>
                <w:rFonts w:cs="Times New Roman"/>
                <w:sz w:val="21"/>
                <w:szCs w:val="21"/>
              </w:rPr>
            </w:pPr>
            <w:r>
              <w:rPr>
                <w:rFonts w:hint="eastAsia" w:cs="Times New Roman"/>
                <w:sz w:val="21"/>
                <w:szCs w:val="21"/>
              </w:rPr>
              <w:t>√</w:t>
            </w:r>
          </w:p>
        </w:tc>
        <w:tc>
          <w:tcPr>
            <w:tcW w:w="609"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10"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08"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优先</w:t>
            </w:r>
          </w:p>
        </w:tc>
      </w:tr>
      <w:tr>
        <w:tblPrEx>
          <w:tblCellMar>
            <w:top w:w="0" w:type="dxa"/>
            <w:left w:w="108" w:type="dxa"/>
            <w:bottom w:w="0" w:type="dxa"/>
            <w:right w:w="108" w:type="dxa"/>
          </w:tblCellMar>
        </w:tblPrEx>
        <w:trPr>
          <w:trHeight w:val="301" w:hRule="atLeast"/>
        </w:trPr>
        <w:tc>
          <w:tcPr>
            <w:tcW w:w="224"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eastAsia="宋体" w:cs="Times New Roman"/>
                <w:sz w:val="21"/>
                <w:szCs w:val="21"/>
                <w:lang w:eastAsia="zh-CN"/>
              </w:rPr>
            </w:pPr>
            <w:r>
              <w:rPr>
                <w:rFonts w:hint="eastAsia" w:cs="Times New Roman"/>
                <w:sz w:val="21"/>
                <w:szCs w:val="21"/>
                <w:lang w:val="en-US" w:eastAsia="zh-CN"/>
              </w:rPr>
              <w:t>9</w:t>
            </w:r>
          </w:p>
        </w:tc>
        <w:tc>
          <w:tcPr>
            <w:tcW w:w="373" w:type="pct"/>
            <w:tcBorders>
              <w:top w:val="single" w:color="auto" w:sz="4" w:space="0"/>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腰庄乡</w:t>
            </w:r>
          </w:p>
        </w:tc>
        <w:tc>
          <w:tcPr>
            <w:tcW w:w="447" w:type="pct"/>
            <w:tcBorders>
              <w:top w:val="single" w:color="auto" w:sz="4" w:space="0"/>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腰庄村</w:t>
            </w:r>
          </w:p>
        </w:tc>
        <w:tc>
          <w:tcPr>
            <w:tcW w:w="299" w:type="pct"/>
            <w:tcBorders>
              <w:top w:val="single" w:color="auto" w:sz="4" w:space="0"/>
              <w:left w:val="nil"/>
              <w:bottom w:val="single" w:color="auto" w:sz="4" w:space="0"/>
              <w:right w:val="nil"/>
            </w:tcBorders>
            <w:vAlign w:val="center"/>
          </w:tcPr>
          <w:p>
            <w:pPr>
              <w:spacing w:line="240" w:lineRule="auto"/>
              <w:ind w:firstLine="0" w:firstLineChars="0"/>
              <w:jc w:val="center"/>
              <w:rPr>
                <w:rFonts w:cs="Times New Roman"/>
                <w:sz w:val="21"/>
                <w:szCs w:val="21"/>
              </w:rPr>
            </w:pPr>
            <w:r>
              <w:rPr>
                <w:rFonts w:cs="Times New Roman"/>
                <w:sz w:val="21"/>
                <w:szCs w:val="21"/>
              </w:rPr>
              <w:t>642</w:t>
            </w: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w:t>
            </w: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w:t>
            </w:r>
          </w:p>
        </w:tc>
        <w:tc>
          <w:tcPr>
            <w:tcW w:w="61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0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一般</w:t>
            </w:r>
          </w:p>
        </w:tc>
      </w:tr>
      <w:tr>
        <w:tblPrEx>
          <w:tblCellMar>
            <w:top w:w="0" w:type="dxa"/>
            <w:left w:w="108" w:type="dxa"/>
            <w:bottom w:w="0" w:type="dxa"/>
            <w:right w:w="108" w:type="dxa"/>
          </w:tblCellMar>
        </w:tblPrEx>
        <w:trPr>
          <w:trHeight w:val="301" w:hRule="atLeast"/>
        </w:trPr>
        <w:tc>
          <w:tcPr>
            <w:tcW w:w="224"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eastAsia="宋体" w:cs="Times New Roman"/>
                <w:sz w:val="21"/>
                <w:szCs w:val="21"/>
                <w:lang w:eastAsia="zh-CN"/>
              </w:rPr>
            </w:pPr>
            <w:r>
              <w:rPr>
                <w:rFonts w:cs="Times New Roman"/>
                <w:sz w:val="21"/>
                <w:szCs w:val="21"/>
              </w:rPr>
              <w:t>1</w:t>
            </w:r>
            <w:r>
              <w:rPr>
                <w:rFonts w:hint="eastAsia" w:cs="Times New Roman"/>
                <w:sz w:val="21"/>
                <w:szCs w:val="21"/>
                <w:lang w:val="en-US" w:eastAsia="zh-CN"/>
              </w:rPr>
              <w:t>0</w:t>
            </w:r>
          </w:p>
        </w:tc>
        <w:tc>
          <w:tcPr>
            <w:tcW w:w="373" w:type="pct"/>
            <w:tcBorders>
              <w:top w:val="single" w:color="auto" w:sz="4" w:space="0"/>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冯家川乡</w:t>
            </w:r>
          </w:p>
        </w:tc>
        <w:tc>
          <w:tcPr>
            <w:tcW w:w="447" w:type="pct"/>
            <w:tcBorders>
              <w:top w:val="single" w:color="auto" w:sz="4" w:space="0"/>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冯家川</w:t>
            </w:r>
            <w:r>
              <w:rPr>
                <w:rFonts w:cs="Times New Roman"/>
                <w:sz w:val="21"/>
                <w:szCs w:val="21"/>
              </w:rPr>
              <w:t>村</w:t>
            </w:r>
          </w:p>
        </w:tc>
        <w:tc>
          <w:tcPr>
            <w:tcW w:w="299" w:type="pct"/>
            <w:tcBorders>
              <w:top w:val="single" w:color="auto" w:sz="4" w:space="0"/>
              <w:left w:val="nil"/>
              <w:bottom w:val="single" w:color="auto" w:sz="4" w:space="0"/>
              <w:right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280</w:t>
            </w: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09"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cs="Times New Roman"/>
                <w:sz w:val="21"/>
                <w:szCs w:val="21"/>
              </w:rPr>
            </w:pPr>
            <w:r>
              <w:rPr>
                <w:rFonts w:hint="eastAsia" w:cs="Times New Roman"/>
                <w:sz w:val="21"/>
                <w:szCs w:val="21"/>
              </w:rPr>
              <w:t>√</w:t>
            </w: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w:t>
            </w:r>
          </w:p>
        </w:tc>
        <w:tc>
          <w:tcPr>
            <w:tcW w:w="61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08"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cs="Times New Roman"/>
                <w:sz w:val="21"/>
                <w:szCs w:val="21"/>
              </w:rPr>
            </w:pPr>
            <w:r>
              <w:rPr>
                <w:rFonts w:hint="eastAsia" w:cs="Times New Roman"/>
                <w:sz w:val="21"/>
                <w:szCs w:val="21"/>
              </w:rPr>
              <w:t>一般</w:t>
            </w:r>
          </w:p>
        </w:tc>
      </w:tr>
      <w:tr>
        <w:tblPrEx>
          <w:tblCellMar>
            <w:top w:w="0" w:type="dxa"/>
            <w:left w:w="108" w:type="dxa"/>
            <w:bottom w:w="0" w:type="dxa"/>
            <w:right w:w="108" w:type="dxa"/>
          </w:tblCellMar>
        </w:tblPrEx>
        <w:trPr>
          <w:trHeight w:val="301" w:hRule="atLeast"/>
        </w:trPr>
        <w:tc>
          <w:tcPr>
            <w:tcW w:w="224"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eastAsia="宋体" w:cs="Times New Roman"/>
                <w:sz w:val="21"/>
                <w:szCs w:val="21"/>
                <w:lang w:eastAsia="zh-CN"/>
              </w:rPr>
            </w:pPr>
            <w:r>
              <w:rPr>
                <w:rFonts w:cs="Times New Roman"/>
                <w:sz w:val="21"/>
                <w:szCs w:val="21"/>
              </w:rPr>
              <w:t>1</w:t>
            </w:r>
            <w:r>
              <w:rPr>
                <w:rFonts w:hint="eastAsia" w:cs="Times New Roman"/>
                <w:sz w:val="21"/>
                <w:szCs w:val="21"/>
                <w:lang w:val="en-US" w:eastAsia="zh-CN"/>
              </w:rPr>
              <w:t>1</w:t>
            </w:r>
          </w:p>
        </w:tc>
        <w:tc>
          <w:tcPr>
            <w:tcW w:w="373" w:type="pct"/>
            <w:tcBorders>
              <w:top w:val="single" w:color="auto" w:sz="4" w:space="0"/>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冯家川乡</w:t>
            </w:r>
          </w:p>
        </w:tc>
        <w:tc>
          <w:tcPr>
            <w:tcW w:w="447" w:type="pct"/>
            <w:tcBorders>
              <w:top w:val="single" w:color="auto" w:sz="4" w:space="0"/>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神山村</w:t>
            </w:r>
          </w:p>
        </w:tc>
        <w:tc>
          <w:tcPr>
            <w:tcW w:w="299" w:type="pct"/>
            <w:tcBorders>
              <w:top w:val="single" w:color="auto" w:sz="4" w:space="0"/>
              <w:left w:val="nil"/>
              <w:bottom w:val="single" w:color="auto" w:sz="4" w:space="0"/>
              <w:right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300</w:t>
            </w: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09" w:type="pct"/>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cs="Times New Roman"/>
                <w:sz w:val="21"/>
                <w:szCs w:val="21"/>
              </w:rPr>
            </w:pPr>
            <w:r>
              <w:rPr>
                <w:rFonts w:hint="eastAsia" w:cs="Times New Roman"/>
                <w:sz w:val="21"/>
                <w:szCs w:val="21"/>
              </w:rPr>
              <w:t>√</w:t>
            </w:r>
          </w:p>
        </w:tc>
        <w:tc>
          <w:tcPr>
            <w:tcW w:w="60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1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p>
        </w:tc>
        <w:tc>
          <w:tcPr>
            <w:tcW w:w="60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一般</w:t>
            </w:r>
          </w:p>
        </w:tc>
      </w:tr>
      <w:bookmarkEnd w:id="37"/>
    </w:tbl>
    <w:p>
      <w:pPr>
        <w:ind w:firstLine="480"/>
        <w:rPr>
          <w:rFonts w:cs="Times New Roman"/>
        </w:rPr>
      </w:pPr>
    </w:p>
    <w:p>
      <w:pPr>
        <w:ind w:firstLine="0" w:firstLineChars="0"/>
        <w:rPr>
          <w:rFonts w:cs="Times New Roman"/>
        </w:rPr>
        <w:sectPr>
          <w:pgSz w:w="16838" w:h="11906" w:orient="landscape"/>
          <w:pgMar w:top="1531" w:right="1361" w:bottom="1531" w:left="1361" w:header="851" w:footer="992" w:gutter="0"/>
          <w:cols w:space="425" w:num="1"/>
          <w:docGrid w:type="lines" w:linePitch="326" w:charSpace="0"/>
        </w:sectPr>
      </w:pPr>
    </w:p>
    <w:p>
      <w:pPr>
        <w:pStyle w:val="5"/>
      </w:pPr>
      <w:bookmarkStart w:id="38" w:name="_Toc43848814"/>
      <w:r>
        <w:t>5 污水治理方案</w:t>
      </w:r>
      <w:bookmarkEnd w:id="38"/>
    </w:p>
    <w:p>
      <w:pPr>
        <w:pStyle w:val="7"/>
        <w:rPr>
          <w:rFonts w:ascii="Times New Roman" w:hAnsi="Times New Roman" w:cs="Times New Roman"/>
        </w:rPr>
      </w:pPr>
      <w:bookmarkStart w:id="39" w:name="_Toc43848815"/>
      <w:r>
        <w:rPr>
          <w:rFonts w:ascii="Times New Roman" w:hAnsi="Times New Roman" w:cs="Times New Roman"/>
        </w:rPr>
        <w:t>5.1 污水处理模式</w:t>
      </w:r>
      <w:bookmarkEnd w:id="39"/>
    </w:p>
    <w:p>
      <w:pPr>
        <w:ind w:firstLine="480"/>
        <w:rPr>
          <w:rFonts w:cs="Times New Roman"/>
        </w:rPr>
      </w:pPr>
      <w:r>
        <w:rPr>
          <w:rFonts w:cs="Times New Roman"/>
        </w:rPr>
        <w:t>农村生活污水处理模式可以分为纳管处理、集中处理、分散处理三种：</w:t>
      </w:r>
    </w:p>
    <w:p>
      <w:pPr>
        <w:ind w:firstLine="480"/>
        <w:rPr>
          <w:rFonts w:cs="Times New Roman"/>
        </w:rPr>
      </w:pPr>
      <w:r>
        <w:rPr>
          <w:rFonts w:cs="Times New Roman"/>
        </w:rPr>
        <w:t>（1）距离城镇污水管网较近，且城镇污水处理设施具有足够处理能力时，优先采用纳管处理；</w:t>
      </w:r>
    </w:p>
    <w:p>
      <w:pPr>
        <w:ind w:firstLine="480"/>
        <w:rPr>
          <w:rFonts w:cs="Times New Roman"/>
        </w:rPr>
      </w:pPr>
      <w:r>
        <w:rPr>
          <w:rFonts w:cs="Times New Roman"/>
        </w:rPr>
        <w:t>（2）距离城镇污水管网较远，人口数量较多(&gt;2000 人)，居住集中，管网铺设条件较好的村庄宜采用集中处理，集中处理可采用构筑物或预制化装置；</w:t>
      </w:r>
    </w:p>
    <w:p>
      <w:pPr>
        <w:ind w:firstLine="480"/>
        <w:rPr>
          <w:rFonts w:cs="Times New Roman"/>
        </w:rPr>
      </w:pPr>
      <w:r>
        <w:rPr>
          <w:rFonts w:cs="Times New Roman"/>
        </w:rPr>
        <w:t>（3）人口数量较少(&lt;100 人)，居住分散，山区丘陵地带的村庄宜采用分散处理；人口数量在 100～2000 之间的村庄，根据当地自然经济条件，选择分散处理或集中处理，分散处理宜采用预制化装置。</w:t>
      </w:r>
    </w:p>
    <w:p>
      <w:pPr>
        <w:pStyle w:val="16"/>
        <w:ind w:firstLine="420"/>
        <w:rPr>
          <w:rFonts w:eastAsia="黑体" w:cs="Times New Roman"/>
          <w:b w:val="0"/>
          <w:bCs/>
        </w:rPr>
      </w:pPr>
      <w:r>
        <w:rPr>
          <w:rFonts w:eastAsia="黑体" w:cs="Times New Roman"/>
          <w:b w:val="0"/>
          <w:bCs/>
        </w:rPr>
        <w:t>表5-1  农村生活污水处理模式</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3"/>
        <w:gridCol w:w="1293"/>
        <w:gridCol w:w="1294"/>
        <w:gridCol w:w="1296"/>
        <w:gridCol w:w="1296"/>
        <w:gridCol w:w="1296"/>
        <w:gridCol w:w="12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restart"/>
            <w:vAlign w:val="center"/>
          </w:tcPr>
          <w:p>
            <w:pPr>
              <w:widowControl/>
              <w:adjustRightInd w:val="0"/>
              <w:snapToGrid w:val="0"/>
              <w:spacing w:line="240" w:lineRule="auto"/>
              <w:ind w:firstLine="0" w:firstLineChars="0"/>
              <w:jc w:val="center"/>
              <w:rPr>
                <w:rFonts w:eastAsia="黑体" w:cs="Times New Roman"/>
                <w:kern w:val="0"/>
                <w:sz w:val="21"/>
                <w:szCs w:val="21"/>
              </w:rPr>
            </w:pPr>
            <w:r>
              <w:rPr>
                <w:rFonts w:eastAsia="黑体" w:cs="Times New Roman"/>
                <w:kern w:val="0"/>
                <w:sz w:val="21"/>
                <w:szCs w:val="21"/>
              </w:rPr>
              <w:t>模式</w:t>
            </w:r>
          </w:p>
        </w:tc>
        <w:tc>
          <w:tcPr>
            <w:tcW w:w="1428" w:type="pct"/>
            <w:gridSpan w:val="2"/>
            <w:vAlign w:val="center"/>
          </w:tcPr>
          <w:p>
            <w:pPr>
              <w:widowControl/>
              <w:adjustRightInd w:val="0"/>
              <w:snapToGrid w:val="0"/>
              <w:spacing w:line="240" w:lineRule="auto"/>
              <w:ind w:firstLine="0" w:firstLineChars="0"/>
              <w:jc w:val="center"/>
              <w:rPr>
                <w:rFonts w:eastAsia="黑体" w:cs="Times New Roman"/>
                <w:kern w:val="0"/>
                <w:sz w:val="21"/>
                <w:szCs w:val="21"/>
              </w:rPr>
            </w:pPr>
            <w:r>
              <w:rPr>
                <w:rFonts w:eastAsia="黑体" w:cs="Times New Roman"/>
                <w:kern w:val="0"/>
                <w:sz w:val="21"/>
                <w:szCs w:val="21"/>
              </w:rPr>
              <w:t>附近是否有城镇污水收集管网或污水处理厂</w:t>
            </w:r>
          </w:p>
        </w:tc>
        <w:tc>
          <w:tcPr>
            <w:tcW w:w="1429" w:type="pct"/>
            <w:gridSpan w:val="2"/>
            <w:vAlign w:val="center"/>
          </w:tcPr>
          <w:p>
            <w:pPr>
              <w:widowControl/>
              <w:adjustRightInd w:val="0"/>
              <w:snapToGrid w:val="0"/>
              <w:spacing w:line="240" w:lineRule="auto"/>
              <w:ind w:firstLine="0" w:firstLineChars="0"/>
              <w:jc w:val="center"/>
              <w:rPr>
                <w:rFonts w:eastAsia="黑体" w:cs="Times New Roman"/>
                <w:kern w:val="0"/>
                <w:sz w:val="21"/>
                <w:szCs w:val="21"/>
              </w:rPr>
            </w:pPr>
            <w:r>
              <w:rPr>
                <w:rFonts w:eastAsia="黑体" w:cs="Times New Roman"/>
                <w:kern w:val="0"/>
                <w:sz w:val="21"/>
                <w:szCs w:val="21"/>
              </w:rPr>
              <w:t>村庄居住形态</w:t>
            </w:r>
          </w:p>
        </w:tc>
        <w:tc>
          <w:tcPr>
            <w:tcW w:w="1429" w:type="pct"/>
            <w:gridSpan w:val="2"/>
            <w:vAlign w:val="center"/>
          </w:tcPr>
          <w:p>
            <w:pPr>
              <w:widowControl/>
              <w:adjustRightInd w:val="0"/>
              <w:snapToGrid w:val="0"/>
              <w:spacing w:line="240" w:lineRule="auto"/>
              <w:ind w:firstLine="0" w:firstLineChars="0"/>
              <w:jc w:val="center"/>
              <w:rPr>
                <w:rFonts w:eastAsia="黑体" w:cs="Times New Roman"/>
                <w:kern w:val="0"/>
                <w:sz w:val="21"/>
                <w:szCs w:val="21"/>
              </w:rPr>
            </w:pPr>
            <w:r>
              <w:rPr>
                <w:rFonts w:eastAsia="黑体" w:cs="Times New Roman"/>
                <w:kern w:val="0"/>
                <w:sz w:val="21"/>
                <w:szCs w:val="21"/>
              </w:rPr>
              <w:t>地形地貌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pPr>
              <w:widowControl/>
              <w:adjustRightInd w:val="0"/>
              <w:snapToGrid w:val="0"/>
              <w:spacing w:line="240" w:lineRule="auto"/>
              <w:ind w:firstLine="0" w:firstLineChars="0"/>
              <w:jc w:val="center"/>
              <w:rPr>
                <w:rFonts w:eastAsia="黑体" w:cs="Times New Roman"/>
                <w:kern w:val="0"/>
                <w:sz w:val="21"/>
                <w:szCs w:val="21"/>
              </w:rPr>
            </w:pPr>
          </w:p>
        </w:tc>
        <w:tc>
          <w:tcPr>
            <w:tcW w:w="714" w:type="pct"/>
            <w:vAlign w:val="center"/>
          </w:tcPr>
          <w:p>
            <w:pPr>
              <w:widowControl/>
              <w:adjustRightInd w:val="0"/>
              <w:snapToGrid w:val="0"/>
              <w:spacing w:line="240" w:lineRule="auto"/>
              <w:ind w:firstLine="0" w:firstLineChars="0"/>
              <w:jc w:val="center"/>
              <w:rPr>
                <w:rFonts w:eastAsia="黑体" w:cs="Times New Roman"/>
                <w:kern w:val="0"/>
                <w:sz w:val="21"/>
                <w:szCs w:val="21"/>
              </w:rPr>
            </w:pPr>
            <w:r>
              <w:rPr>
                <w:rFonts w:eastAsia="黑体" w:cs="Times New Roman"/>
                <w:kern w:val="0"/>
                <w:sz w:val="21"/>
                <w:szCs w:val="21"/>
              </w:rPr>
              <w:t>是</w:t>
            </w:r>
          </w:p>
        </w:tc>
        <w:tc>
          <w:tcPr>
            <w:tcW w:w="714" w:type="pct"/>
            <w:vAlign w:val="center"/>
          </w:tcPr>
          <w:p>
            <w:pPr>
              <w:widowControl/>
              <w:adjustRightInd w:val="0"/>
              <w:snapToGrid w:val="0"/>
              <w:spacing w:line="240" w:lineRule="auto"/>
              <w:ind w:firstLine="0" w:firstLineChars="0"/>
              <w:jc w:val="center"/>
              <w:rPr>
                <w:rFonts w:eastAsia="黑体" w:cs="Times New Roman"/>
                <w:kern w:val="0"/>
                <w:sz w:val="21"/>
                <w:szCs w:val="21"/>
              </w:rPr>
            </w:pPr>
            <w:r>
              <w:rPr>
                <w:rFonts w:eastAsia="黑体" w:cs="Times New Roman"/>
                <w:kern w:val="0"/>
                <w:sz w:val="21"/>
                <w:szCs w:val="21"/>
              </w:rPr>
              <w:t>否</w:t>
            </w:r>
          </w:p>
        </w:tc>
        <w:tc>
          <w:tcPr>
            <w:tcW w:w="715" w:type="pct"/>
            <w:vAlign w:val="center"/>
          </w:tcPr>
          <w:p>
            <w:pPr>
              <w:widowControl/>
              <w:adjustRightInd w:val="0"/>
              <w:snapToGrid w:val="0"/>
              <w:spacing w:line="240" w:lineRule="auto"/>
              <w:ind w:firstLine="0" w:firstLineChars="0"/>
              <w:jc w:val="center"/>
              <w:rPr>
                <w:rFonts w:eastAsia="黑体" w:cs="Times New Roman"/>
                <w:kern w:val="0"/>
                <w:sz w:val="21"/>
                <w:szCs w:val="21"/>
              </w:rPr>
            </w:pPr>
            <w:r>
              <w:rPr>
                <w:rFonts w:eastAsia="黑体" w:cs="Times New Roman"/>
                <w:kern w:val="0"/>
                <w:sz w:val="21"/>
                <w:szCs w:val="21"/>
              </w:rPr>
              <w:t>相对集中</w:t>
            </w:r>
          </w:p>
        </w:tc>
        <w:tc>
          <w:tcPr>
            <w:tcW w:w="715" w:type="pct"/>
            <w:vAlign w:val="center"/>
          </w:tcPr>
          <w:p>
            <w:pPr>
              <w:widowControl/>
              <w:adjustRightInd w:val="0"/>
              <w:snapToGrid w:val="0"/>
              <w:spacing w:line="240" w:lineRule="auto"/>
              <w:ind w:firstLine="0" w:firstLineChars="0"/>
              <w:jc w:val="center"/>
              <w:rPr>
                <w:rFonts w:eastAsia="黑体" w:cs="Times New Roman"/>
                <w:kern w:val="0"/>
                <w:sz w:val="21"/>
                <w:szCs w:val="21"/>
              </w:rPr>
            </w:pPr>
            <w:r>
              <w:rPr>
                <w:rFonts w:eastAsia="黑体" w:cs="Times New Roman"/>
                <w:kern w:val="0"/>
                <w:sz w:val="21"/>
                <w:szCs w:val="21"/>
              </w:rPr>
              <w:t>较为分散</w:t>
            </w:r>
          </w:p>
        </w:tc>
        <w:tc>
          <w:tcPr>
            <w:tcW w:w="715" w:type="pct"/>
            <w:vAlign w:val="center"/>
          </w:tcPr>
          <w:p>
            <w:pPr>
              <w:widowControl/>
              <w:adjustRightInd w:val="0"/>
              <w:snapToGrid w:val="0"/>
              <w:spacing w:line="240" w:lineRule="auto"/>
              <w:ind w:firstLine="0" w:firstLineChars="0"/>
              <w:jc w:val="center"/>
              <w:rPr>
                <w:rFonts w:eastAsia="黑体" w:cs="Times New Roman"/>
                <w:kern w:val="0"/>
                <w:sz w:val="21"/>
                <w:szCs w:val="21"/>
              </w:rPr>
            </w:pPr>
            <w:r>
              <w:rPr>
                <w:rFonts w:eastAsia="黑体" w:cs="Times New Roman"/>
                <w:kern w:val="0"/>
                <w:sz w:val="21"/>
                <w:szCs w:val="21"/>
              </w:rPr>
              <w:t>有利于铺设管网</w:t>
            </w:r>
          </w:p>
        </w:tc>
        <w:tc>
          <w:tcPr>
            <w:tcW w:w="715" w:type="pct"/>
            <w:vAlign w:val="center"/>
          </w:tcPr>
          <w:p>
            <w:pPr>
              <w:widowControl/>
              <w:adjustRightInd w:val="0"/>
              <w:snapToGrid w:val="0"/>
              <w:spacing w:line="240" w:lineRule="auto"/>
              <w:ind w:firstLine="0" w:firstLineChars="0"/>
              <w:jc w:val="center"/>
              <w:rPr>
                <w:rFonts w:eastAsia="黑体" w:cs="Times New Roman"/>
                <w:kern w:val="0"/>
                <w:sz w:val="21"/>
                <w:szCs w:val="21"/>
              </w:rPr>
            </w:pPr>
            <w:r>
              <w:rPr>
                <w:rFonts w:eastAsia="黑体" w:cs="Times New Roman"/>
                <w:kern w:val="0"/>
                <w:sz w:val="21"/>
                <w:szCs w:val="21"/>
              </w:rPr>
              <w:t>不利于铺设管网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pPr>
              <w:adjustRightInd w:val="0"/>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纳入城镇污水管网</w:t>
            </w:r>
          </w:p>
        </w:tc>
        <w:tc>
          <w:tcPr>
            <w:tcW w:w="714" w:type="pct"/>
            <w:vAlign w:val="center"/>
          </w:tcPr>
          <w:p>
            <w:pPr>
              <w:adjustRightInd w:val="0"/>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w:t>
            </w:r>
          </w:p>
        </w:tc>
        <w:tc>
          <w:tcPr>
            <w:tcW w:w="714" w:type="pct"/>
            <w:vAlign w:val="center"/>
          </w:tcPr>
          <w:p>
            <w:pPr>
              <w:adjustRightInd w:val="0"/>
              <w:snapToGrid w:val="0"/>
              <w:spacing w:line="240" w:lineRule="auto"/>
              <w:ind w:firstLine="0" w:firstLineChars="0"/>
              <w:jc w:val="center"/>
              <w:rPr>
                <w:rFonts w:eastAsia="微软雅黑" w:cs="Times New Roman"/>
                <w:kern w:val="0"/>
                <w:sz w:val="21"/>
                <w:szCs w:val="21"/>
              </w:rPr>
            </w:pPr>
          </w:p>
        </w:tc>
        <w:tc>
          <w:tcPr>
            <w:tcW w:w="715" w:type="pct"/>
            <w:vAlign w:val="center"/>
          </w:tcPr>
          <w:p>
            <w:pPr>
              <w:adjustRightInd w:val="0"/>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w:t>
            </w:r>
          </w:p>
        </w:tc>
        <w:tc>
          <w:tcPr>
            <w:tcW w:w="715" w:type="pct"/>
            <w:vAlign w:val="center"/>
          </w:tcPr>
          <w:p>
            <w:pPr>
              <w:adjustRightInd w:val="0"/>
              <w:snapToGrid w:val="0"/>
              <w:spacing w:line="240" w:lineRule="auto"/>
              <w:ind w:firstLine="0" w:firstLineChars="0"/>
              <w:jc w:val="center"/>
              <w:rPr>
                <w:rFonts w:eastAsia="微软雅黑" w:cs="Times New Roman"/>
                <w:kern w:val="0"/>
                <w:sz w:val="21"/>
                <w:szCs w:val="21"/>
              </w:rPr>
            </w:pPr>
          </w:p>
        </w:tc>
        <w:tc>
          <w:tcPr>
            <w:tcW w:w="715" w:type="pct"/>
            <w:vAlign w:val="center"/>
          </w:tcPr>
          <w:p>
            <w:pPr>
              <w:adjustRightInd w:val="0"/>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w:t>
            </w:r>
          </w:p>
        </w:tc>
        <w:tc>
          <w:tcPr>
            <w:tcW w:w="715" w:type="pct"/>
            <w:vAlign w:val="center"/>
          </w:tcPr>
          <w:p>
            <w:pPr>
              <w:adjustRightInd w:val="0"/>
              <w:snapToGrid w:val="0"/>
              <w:spacing w:line="240" w:lineRule="auto"/>
              <w:ind w:firstLine="0" w:firstLineChars="0"/>
              <w:jc w:val="center"/>
              <w:rPr>
                <w:rFonts w:eastAsia="微软雅黑"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pPr>
              <w:adjustRightInd w:val="0"/>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村庄集中污水处理</w:t>
            </w:r>
          </w:p>
        </w:tc>
        <w:tc>
          <w:tcPr>
            <w:tcW w:w="714" w:type="pct"/>
            <w:vAlign w:val="center"/>
          </w:tcPr>
          <w:p>
            <w:pPr>
              <w:adjustRightInd w:val="0"/>
              <w:snapToGrid w:val="0"/>
              <w:spacing w:line="240" w:lineRule="auto"/>
              <w:ind w:firstLine="0" w:firstLineChars="0"/>
              <w:jc w:val="center"/>
              <w:rPr>
                <w:rFonts w:eastAsia="微软雅黑" w:cs="Times New Roman"/>
                <w:kern w:val="0"/>
                <w:sz w:val="21"/>
                <w:szCs w:val="21"/>
              </w:rPr>
            </w:pPr>
          </w:p>
        </w:tc>
        <w:tc>
          <w:tcPr>
            <w:tcW w:w="714" w:type="pct"/>
            <w:vAlign w:val="center"/>
          </w:tcPr>
          <w:p>
            <w:pPr>
              <w:adjustRightInd w:val="0"/>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w:t>
            </w:r>
          </w:p>
        </w:tc>
        <w:tc>
          <w:tcPr>
            <w:tcW w:w="715" w:type="pct"/>
            <w:vAlign w:val="center"/>
          </w:tcPr>
          <w:p>
            <w:pPr>
              <w:adjustRightInd w:val="0"/>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w:t>
            </w:r>
          </w:p>
        </w:tc>
        <w:tc>
          <w:tcPr>
            <w:tcW w:w="715" w:type="pct"/>
            <w:vAlign w:val="center"/>
          </w:tcPr>
          <w:p>
            <w:pPr>
              <w:adjustRightInd w:val="0"/>
              <w:snapToGrid w:val="0"/>
              <w:spacing w:line="240" w:lineRule="auto"/>
              <w:ind w:firstLine="0" w:firstLineChars="0"/>
              <w:jc w:val="center"/>
              <w:rPr>
                <w:rFonts w:eastAsia="微软雅黑" w:cs="Times New Roman"/>
                <w:kern w:val="0"/>
                <w:sz w:val="21"/>
                <w:szCs w:val="21"/>
              </w:rPr>
            </w:pPr>
          </w:p>
        </w:tc>
        <w:tc>
          <w:tcPr>
            <w:tcW w:w="715" w:type="pct"/>
            <w:vAlign w:val="center"/>
          </w:tcPr>
          <w:p>
            <w:pPr>
              <w:adjustRightInd w:val="0"/>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w:t>
            </w:r>
          </w:p>
        </w:tc>
        <w:tc>
          <w:tcPr>
            <w:tcW w:w="715" w:type="pct"/>
            <w:vAlign w:val="center"/>
          </w:tcPr>
          <w:p>
            <w:pPr>
              <w:adjustRightInd w:val="0"/>
              <w:snapToGrid w:val="0"/>
              <w:spacing w:line="240" w:lineRule="auto"/>
              <w:ind w:firstLine="0" w:firstLineChars="0"/>
              <w:jc w:val="center"/>
              <w:rPr>
                <w:rFonts w:eastAsia="微软雅黑"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pPr>
              <w:adjustRightInd w:val="0"/>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分散污水处理</w:t>
            </w:r>
          </w:p>
        </w:tc>
        <w:tc>
          <w:tcPr>
            <w:tcW w:w="714" w:type="pct"/>
            <w:vAlign w:val="center"/>
          </w:tcPr>
          <w:p>
            <w:pPr>
              <w:adjustRightInd w:val="0"/>
              <w:snapToGrid w:val="0"/>
              <w:spacing w:line="240" w:lineRule="auto"/>
              <w:ind w:firstLine="0" w:firstLineChars="0"/>
              <w:jc w:val="center"/>
              <w:rPr>
                <w:rFonts w:eastAsia="微软雅黑" w:cs="Times New Roman"/>
                <w:kern w:val="0"/>
                <w:sz w:val="21"/>
                <w:szCs w:val="21"/>
              </w:rPr>
            </w:pPr>
          </w:p>
        </w:tc>
        <w:tc>
          <w:tcPr>
            <w:tcW w:w="714" w:type="pct"/>
            <w:vAlign w:val="center"/>
          </w:tcPr>
          <w:p>
            <w:pPr>
              <w:adjustRightInd w:val="0"/>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w:t>
            </w:r>
          </w:p>
        </w:tc>
        <w:tc>
          <w:tcPr>
            <w:tcW w:w="715" w:type="pct"/>
            <w:vAlign w:val="center"/>
          </w:tcPr>
          <w:p>
            <w:pPr>
              <w:adjustRightInd w:val="0"/>
              <w:snapToGrid w:val="0"/>
              <w:spacing w:line="240" w:lineRule="auto"/>
              <w:ind w:firstLine="0" w:firstLineChars="0"/>
              <w:jc w:val="center"/>
              <w:rPr>
                <w:rFonts w:eastAsia="微软雅黑" w:cs="Times New Roman"/>
                <w:kern w:val="0"/>
                <w:sz w:val="21"/>
                <w:szCs w:val="21"/>
              </w:rPr>
            </w:pPr>
          </w:p>
        </w:tc>
        <w:tc>
          <w:tcPr>
            <w:tcW w:w="715" w:type="pct"/>
            <w:vAlign w:val="center"/>
          </w:tcPr>
          <w:p>
            <w:pPr>
              <w:adjustRightInd w:val="0"/>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w:t>
            </w:r>
          </w:p>
        </w:tc>
        <w:tc>
          <w:tcPr>
            <w:tcW w:w="715" w:type="pct"/>
            <w:vAlign w:val="center"/>
          </w:tcPr>
          <w:p>
            <w:pPr>
              <w:adjustRightInd w:val="0"/>
              <w:snapToGrid w:val="0"/>
              <w:spacing w:line="240" w:lineRule="auto"/>
              <w:ind w:firstLine="0" w:firstLineChars="0"/>
              <w:jc w:val="center"/>
              <w:rPr>
                <w:rFonts w:eastAsia="微软雅黑" w:cs="Times New Roman"/>
                <w:kern w:val="0"/>
                <w:sz w:val="21"/>
                <w:szCs w:val="21"/>
              </w:rPr>
            </w:pPr>
          </w:p>
        </w:tc>
        <w:tc>
          <w:tcPr>
            <w:tcW w:w="715" w:type="pct"/>
            <w:vAlign w:val="center"/>
          </w:tcPr>
          <w:p>
            <w:pPr>
              <w:adjustRightInd w:val="0"/>
              <w:snapToGrid w:val="0"/>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w:t>
            </w:r>
          </w:p>
        </w:tc>
      </w:tr>
    </w:tbl>
    <w:p>
      <w:pPr>
        <w:pStyle w:val="8"/>
        <w:rPr>
          <w:rFonts w:ascii="Times New Roman" w:hAnsi="Times New Roman" w:cs="Times New Roman"/>
        </w:rPr>
      </w:pPr>
      <w:r>
        <w:rPr>
          <w:rFonts w:ascii="Times New Roman" w:hAnsi="Times New Roman" w:cs="Times New Roman"/>
        </w:rPr>
        <w:t>5.1.1 纳入城镇污水管网集中处理</w:t>
      </w:r>
    </w:p>
    <w:p>
      <w:pPr>
        <w:ind w:firstLine="480"/>
        <w:rPr>
          <w:rFonts w:cs="Times New Roman"/>
        </w:rPr>
      </w:pPr>
      <w:r>
        <w:rPr>
          <w:rFonts w:cs="Times New Roman"/>
        </w:rPr>
        <w:t>按照“城边接管”的原则，城区主干管延伸范围及附近的村庄污水截污纳入城镇污水管网收集，进入污水处理厂统一处理，不但可降低处理设施的投资，而且具有良好的污水处理率以及运行管理保障。</w:t>
      </w:r>
    </w:p>
    <w:p>
      <w:pPr>
        <w:ind w:firstLine="480"/>
        <w:rPr>
          <w:rFonts w:cs="Times New Roman"/>
        </w:rPr>
      </w:pPr>
      <w:r>
        <w:rPr>
          <w:rFonts w:cs="Times New Roman"/>
        </w:rPr>
        <w:t>保德县共有7座污水处理设施，目前正常运行的1座，分别为保德县污水处理站。停止污水处理的设施有5座，分别位于保德县花园村、保德县暖泉村、保德县义门村、保德县冯家川村（康熙枣园）、保德县冯家川村污水处理站，拆除了1座——保德县东关镇马家滩村污水处理设施。</w:t>
      </w:r>
    </w:p>
    <w:p>
      <w:pPr>
        <w:ind w:firstLine="480"/>
        <w:rPr>
          <w:rFonts w:cs="Times New Roman"/>
        </w:rPr>
      </w:pPr>
      <w:r>
        <w:rPr>
          <w:rFonts w:cs="Times New Roman"/>
        </w:rPr>
        <w:t>（1）保德县污水处理站位于东关镇李贤</w:t>
      </w:r>
      <w:r>
        <w:rPr>
          <w:rFonts w:hint="eastAsia" w:cs="Times New Roman"/>
          <w:lang w:eastAsia="zh-CN"/>
        </w:rPr>
        <w:t>堎</w:t>
      </w:r>
      <w:r>
        <w:rPr>
          <w:rFonts w:cs="Times New Roman"/>
        </w:rPr>
        <w:t>村，2009年7月开工建设，2010年9月完成管网建设，并投入使用。污水处理采用A</w:t>
      </w:r>
      <w:r>
        <w:rPr>
          <w:rFonts w:cs="Times New Roman"/>
          <w:vertAlign w:val="superscript"/>
        </w:rPr>
        <w:t>2</w:t>
      </w:r>
      <w:r>
        <w:rPr>
          <w:rFonts w:cs="Times New Roman"/>
        </w:rPr>
        <w:t>/O化学辅助除磷工艺。设计日处理污水1.5万m3/d，污水排放标准出水水质为一级A标准，水质COD、氨氮及总磷达到地表水环境质量标准V类。</w:t>
      </w:r>
    </w:p>
    <w:p>
      <w:pPr>
        <w:ind w:firstLine="480"/>
        <w:rPr>
          <w:rFonts w:cs="Times New Roman"/>
        </w:rPr>
      </w:pPr>
      <w:r>
        <w:rPr>
          <w:rFonts w:cs="Times New Roman"/>
        </w:rPr>
        <w:t>（2）保德县东关镇马家滩村污水处理设施设计规模100m3/d，实际处理量40m3/d，服务人口200人，处理工艺A/O法，出水水质执行城镇生活污水处理厂污染物排放二级标准，排去方向为地表水体。2018年1月10日委托厂家技术人员对污水处理站的设备进行了检修，并拿出了运行方案，做出了运行经费预算，2018年1月26日保财预〔2018〕7号文件下达东关镇政府运行经费16.5万元，合同运行时限为2018年6月13日-2019年6月13日，合同时限内污水处理站正常运行。2019年9月因修建马家滩农贸市场，马家滩污水处理站已拆除，原有污水接入县城生活污水处理管网进行处理。</w:t>
      </w:r>
    </w:p>
    <w:p>
      <w:pPr>
        <w:ind w:firstLine="480"/>
        <w:rPr>
          <w:rFonts w:cs="Times New Roman"/>
        </w:rPr>
      </w:pPr>
      <w:r>
        <w:rPr>
          <w:rFonts w:cs="Times New Roman"/>
        </w:rPr>
        <w:t>（3）保德县冯家川村污水处理设施设计规模25 m</w:t>
      </w:r>
      <w:r>
        <w:rPr>
          <w:rFonts w:cs="Times New Roman"/>
          <w:vertAlign w:val="superscript"/>
        </w:rPr>
        <w:t>3</w:t>
      </w:r>
      <w:r>
        <w:rPr>
          <w:rFonts w:cs="Times New Roman"/>
        </w:rPr>
        <w:t>/d，实际处理量为15 m</w:t>
      </w:r>
      <w:r>
        <w:rPr>
          <w:rFonts w:cs="Times New Roman"/>
          <w:vertAlign w:val="superscript"/>
        </w:rPr>
        <w:t>3</w:t>
      </w:r>
      <w:r>
        <w:rPr>
          <w:rFonts w:cs="Times New Roman"/>
        </w:rPr>
        <w:t>/d，服务人口70人，处理工艺A/O法，出水水质执行城镇生活污水处理厂污染物排放二级标准，排去方向为自然下渗。运行经费由保德县财政支持。2018年1月10日委托厂家技术人员对污水处理站的设备进行了检修，并拿出了运行方案，做出了运行经费预算，2018年1月26日保财预〔2018〕7号文件下达冯家川乡政府运行经费13.22万元，合同运行时限为2018年6月13日-2019年6月13日，合同时限内污水处理站正常运行。现由于运行经费未支付，因此污水处理站处于停运状态。</w:t>
      </w:r>
    </w:p>
    <w:p>
      <w:pPr>
        <w:ind w:firstLine="480"/>
        <w:rPr>
          <w:rFonts w:cs="Times New Roman"/>
        </w:rPr>
      </w:pPr>
      <w:r>
        <w:rPr>
          <w:rFonts w:cs="Times New Roman"/>
        </w:rPr>
        <w:t>（4）保德县花园村污水处理设施设计规模40 m</w:t>
      </w:r>
      <w:r>
        <w:rPr>
          <w:rFonts w:cs="Times New Roman"/>
          <w:vertAlign w:val="superscript"/>
        </w:rPr>
        <w:t>3</w:t>
      </w:r>
      <w:r>
        <w:rPr>
          <w:rFonts w:cs="Times New Roman"/>
        </w:rPr>
        <w:t>/d，服务人口400人，处理工艺A/O法，出水水质执行城镇生活污水处理厂污染物排放二级标准，排去方向为地表水体。尚未确定经费来源。该污水处理站设计主要是处理花园村学校的生活污水，污水站建设时学校有400多名学生，现由于学生转学等多种原因，学校仅有少数学生，污水产生量不能满足污水处理站的正常运行，导致设施停置。</w:t>
      </w:r>
    </w:p>
    <w:p>
      <w:pPr>
        <w:ind w:firstLine="480"/>
        <w:rPr>
          <w:rFonts w:cs="Times New Roman"/>
        </w:rPr>
      </w:pPr>
      <w:r>
        <w:rPr>
          <w:rFonts w:cs="Times New Roman"/>
        </w:rPr>
        <w:t>（5）保德县暖泉村污水处理设施设计规模25 m</w:t>
      </w:r>
      <w:r>
        <w:rPr>
          <w:rFonts w:cs="Times New Roman"/>
          <w:vertAlign w:val="superscript"/>
        </w:rPr>
        <w:t>3</w:t>
      </w:r>
      <w:r>
        <w:rPr>
          <w:rFonts w:cs="Times New Roman"/>
        </w:rPr>
        <w:t>/d，服务人口70人，处理工艺A/O法，出水水质执行城镇生活污水处理厂污染物排放二级标准，排去方向为地表水体。尚未确定经费来源。该污水处理站主要服务于义门镇卫生院和义门镇派出所，现义门镇卫生院已搬迁，仅义门镇派出所的污水产生量无法满足污水处理站的正常运行，导致设施停置。</w:t>
      </w:r>
    </w:p>
    <w:p>
      <w:pPr>
        <w:ind w:firstLine="480"/>
        <w:rPr>
          <w:rFonts w:cs="Times New Roman"/>
        </w:rPr>
      </w:pPr>
      <w:r>
        <w:rPr>
          <w:rFonts w:cs="Times New Roman"/>
        </w:rPr>
        <w:t>（6）保德县义门村污水处理设施设计规模100 m</w:t>
      </w:r>
      <w:r>
        <w:rPr>
          <w:rFonts w:cs="Times New Roman"/>
          <w:vertAlign w:val="superscript"/>
        </w:rPr>
        <w:t>3</w:t>
      </w:r>
      <w:r>
        <w:rPr>
          <w:rFonts w:cs="Times New Roman"/>
        </w:rPr>
        <w:t>/d，服务人口600人，处理工艺A/O法，出水水质执行城镇生活污水处理厂污染物排放一级A标准，排去方向为地表水体。尚未确定经费来源。由于义门村生活污水收集难度大，管网配套不完善，污水收集不足，污水处理站手续不齐全，未运行导致设施停置。</w:t>
      </w:r>
    </w:p>
    <w:p>
      <w:pPr>
        <w:ind w:firstLine="480"/>
        <w:rPr>
          <w:rFonts w:cs="Times New Roman"/>
        </w:rPr>
      </w:pPr>
      <w:r>
        <w:rPr>
          <w:rFonts w:cs="Times New Roman"/>
        </w:rPr>
        <w:t>（7）保德县冯家川村（康熙枣园）污水处理设施设计规模40 m</w:t>
      </w:r>
      <w:r>
        <w:rPr>
          <w:rFonts w:cs="Times New Roman"/>
          <w:vertAlign w:val="superscript"/>
        </w:rPr>
        <w:t>3</w:t>
      </w:r>
      <w:r>
        <w:rPr>
          <w:rFonts w:cs="Times New Roman"/>
        </w:rPr>
        <w:t>/d，服务人口200人，处理 工艺A</w:t>
      </w:r>
      <w:r>
        <w:rPr>
          <w:rFonts w:cs="Times New Roman"/>
          <w:vertAlign w:val="superscript"/>
        </w:rPr>
        <w:t>2</w:t>
      </w:r>
      <w:r>
        <w:rPr>
          <w:rFonts w:cs="Times New Roman"/>
        </w:rPr>
        <w:t>/O法，出水水质执行城镇生活污水处理厂污染物排放二级标准，排去方向为地表水体。该污水处理站的初设服务对象是冯家川康熙枣园，由于枣园项目在已完成工程投资的50%以上时，原“一企一项”建设单位是王家岭煤业有限公司，中途资金匮乏，该项目已移交天生红枣有限公司续建。截止目前，康熙枣园未建成，因此，污水处理站处于停运状态。待枣园建成后，企业按照图纸建设配套官网接入污水处理站，并对污水处理站设施设备巡检后即可投入运行。</w:t>
      </w:r>
    </w:p>
    <w:p>
      <w:pPr>
        <w:ind w:firstLine="480"/>
        <w:rPr>
          <w:rFonts w:cs="Times New Roman"/>
        </w:rPr>
      </w:pPr>
      <w:r>
        <w:rPr>
          <w:rFonts w:cs="Times New Roman"/>
        </w:rPr>
        <w:t>根据《保德县县域建制镇生活污水处理设施建设专项规划》（2020—2025），2020年至2025年：桥头镇区2025年的生活污水量为215.6m</w:t>
      </w:r>
      <w:r>
        <w:rPr>
          <w:rFonts w:cs="Times New Roman"/>
          <w:vertAlign w:val="superscript"/>
        </w:rPr>
        <w:t>3</w:t>
      </w:r>
      <w:r>
        <w:rPr>
          <w:rFonts w:cs="Times New Roman"/>
        </w:rPr>
        <w:t>/d，规划新建一座污水处理站，设计规模为220m</w:t>
      </w:r>
      <w:r>
        <w:rPr>
          <w:rFonts w:cs="Times New Roman"/>
          <w:vertAlign w:val="superscript"/>
        </w:rPr>
        <w:t>3</w:t>
      </w:r>
      <w:r>
        <w:rPr>
          <w:rFonts w:cs="Times New Roman"/>
        </w:rPr>
        <w:t>/d，占地面积约450m</w:t>
      </w:r>
      <w:r>
        <w:rPr>
          <w:rFonts w:cs="Times New Roman"/>
          <w:vertAlign w:val="superscript"/>
        </w:rPr>
        <w:t>2</w:t>
      </w:r>
      <w:r>
        <w:rPr>
          <w:rFonts w:cs="Times New Roman"/>
        </w:rPr>
        <w:t>；义门镇区2025年的生活污水量为197.12m</w:t>
      </w:r>
      <w:r>
        <w:rPr>
          <w:rFonts w:cs="Times New Roman"/>
          <w:vertAlign w:val="superscript"/>
        </w:rPr>
        <w:t>3</w:t>
      </w:r>
      <w:r>
        <w:rPr>
          <w:rFonts w:cs="Times New Roman"/>
        </w:rPr>
        <w:t>/d，规划对现状污水处理站进行扩容，扩容后规模为200m</w:t>
      </w:r>
      <w:r>
        <w:rPr>
          <w:rFonts w:cs="Times New Roman"/>
          <w:vertAlign w:val="superscript"/>
        </w:rPr>
        <w:t>3</w:t>
      </w:r>
      <w:r>
        <w:rPr>
          <w:rFonts w:cs="Times New Roman"/>
        </w:rPr>
        <w:t>/d，占地面积约440 m</w:t>
      </w:r>
      <w:r>
        <w:rPr>
          <w:rFonts w:cs="Times New Roman"/>
          <w:vertAlign w:val="superscript"/>
        </w:rPr>
        <w:t>2</w:t>
      </w:r>
      <w:r>
        <w:rPr>
          <w:rFonts w:cs="Times New Roman"/>
        </w:rPr>
        <w:t>；杨家湾镇区2025年的生活污水量为28.93m</w:t>
      </w:r>
      <w:r>
        <w:rPr>
          <w:rFonts w:cs="Times New Roman"/>
          <w:vertAlign w:val="superscript"/>
        </w:rPr>
        <w:t>3</w:t>
      </w:r>
      <w:r>
        <w:rPr>
          <w:rFonts w:cs="Times New Roman"/>
        </w:rPr>
        <w:t>/d，镇区内正在建设一座生活污水设施，设计规模为200m</w:t>
      </w:r>
      <w:r>
        <w:rPr>
          <w:rFonts w:cs="Times New Roman"/>
          <w:vertAlign w:val="superscript"/>
        </w:rPr>
        <w:t>3</w:t>
      </w:r>
      <w:r>
        <w:rPr>
          <w:rFonts w:cs="Times New Roman"/>
        </w:rPr>
        <w:t>/d，占地面积约445m</w:t>
      </w:r>
      <w:r>
        <w:rPr>
          <w:rFonts w:cs="Times New Roman"/>
          <w:vertAlign w:val="superscript"/>
        </w:rPr>
        <w:t>2</w:t>
      </w:r>
      <w:r>
        <w:rPr>
          <w:rFonts w:cs="Times New Roman"/>
        </w:rPr>
        <w:t>。</w:t>
      </w:r>
    </w:p>
    <w:p>
      <w:pPr>
        <w:ind w:firstLine="480"/>
        <w:rPr>
          <w:rFonts w:cs="Times New Roman"/>
        </w:rPr>
      </w:pPr>
      <w:r>
        <w:rPr>
          <w:rFonts w:cs="Times New Roman"/>
        </w:rPr>
        <w:t>对符合下列条件的行政村，将其生活污水纳入城镇污水处理厂进行集中处理：①毗邻已建污水处理厂；②或邻近城镇污水收集管网；③地势平坦、易于施工。将符合上述条件的村庄，通过完善村庄内部污水管网，建设连接管线，将村庄生活污水统一依托现有的污水处理厂治理。管网输送模式示意图见5-1。</w:t>
      </w:r>
    </w:p>
    <w:p>
      <w:pPr>
        <w:numPr>
          <w:ilvl w:val="255"/>
          <w:numId w:val="0"/>
        </w:numPr>
        <w:spacing w:line="240" w:lineRule="auto"/>
        <w:jc w:val="center"/>
        <w:rPr>
          <w:rFonts w:eastAsia="黑体" w:cs="Times New Roman"/>
          <w:szCs w:val="24"/>
        </w:rPr>
      </w:pPr>
      <w:r>
        <w:rPr>
          <w:rFonts w:eastAsia="黑体" w:cs="Times New Roman"/>
          <w:szCs w:val="24"/>
        </w:rPr>
        <w:drawing>
          <wp:inline distT="0" distB="0" distL="0" distR="0">
            <wp:extent cx="4081145" cy="2267585"/>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081333" cy="2268000"/>
                    </a:xfrm>
                    <a:prstGeom prst="rect">
                      <a:avLst/>
                    </a:prstGeom>
                  </pic:spPr>
                </pic:pic>
              </a:graphicData>
            </a:graphic>
          </wp:inline>
        </w:drawing>
      </w:r>
    </w:p>
    <w:p>
      <w:pPr>
        <w:pStyle w:val="16"/>
        <w:ind w:firstLine="0" w:firstLineChars="0"/>
        <w:rPr>
          <w:rFonts w:eastAsia="黑体" w:cs="Times New Roman"/>
          <w:b w:val="0"/>
          <w:bCs/>
        </w:rPr>
      </w:pPr>
      <w:r>
        <w:rPr>
          <w:rFonts w:eastAsia="黑体" w:cs="Times New Roman"/>
          <w:b w:val="0"/>
          <w:bCs/>
        </w:rPr>
        <w:t>图5-1  管网输送模式示意图</w:t>
      </w:r>
    </w:p>
    <w:p>
      <w:pPr>
        <w:ind w:firstLine="480"/>
        <w:rPr>
          <w:rFonts w:cs="Times New Roman"/>
        </w:rPr>
      </w:pPr>
      <w:r>
        <w:rPr>
          <w:rFonts w:cs="Times New Roman"/>
        </w:rPr>
        <w:t>铁匠铺村、郭家滩村、马家</w:t>
      </w:r>
      <w:r>
        <w:rPr>
          <w:rFonts w:hint="eastAsia" w:cs="Times New Roman"/>
        </w:rPr>
        <w:t>滩</w:t>
      </w:r>
      <w:r>
        <w:rPr>
          <w:rFonts w:cs="Times New Roman"/>
        </w:rPr>
        <w:t>村</w:t>
      </w:r>
      <w:r>
        <w:rPr>
          <w:rFonts w:hint="eastAsia" w:cs="Times New Roman"/>
        </w:rPr>
        <w:t>、</w:t>
      </w:r>
      <w:r>
        <w:rPr>
          <w:rFonts w:cs="Times New Roman"/>
        </w:rPr>
        <w:t>王家滩村</w:t>
      </w:r>
      <w:r>
        <w:rPr>
          <w:rFonts w:hint="eastAsia" w:cs="Times New Roman"/>
        </w:rPr>
        <w:t>日排污量</w:t>
      </w:r>
      <w:r>
        <w:rPr>
          <w:rFonts w:cs="Times New Roman"/>
        </w:rPr>
        <w:t>巨大，为了减轻环境污染的压力</w:t>
      </w:r>
      <w:r>
        <w:rPr>
          <w:rFonts w:hint="eastAsia" w:cs="Times New Roman"/>
        </w:rPr>
        <w:t>，将</w:t>
      </w:r>
      <w:r>
        <w:rPr>
          <w:rFonts w:cs="Times New Roman"/>
        </w:rPr>
        <w:t>上述</w:t>
      </w:r>
      <w:r>
        <w:rPr>
          <w:rFonts w:hint="eastAsia" w:cs="Times New Roman"/>
        </w:rPr>
        <w:t>4村</w:t>
      </w:r>
      <w:r>
        <w:rPr>
          <w:rFonts w:cs="Times New Roman"/>
        </w:rPr>
        <w:t>纳入保德县污水处理厂统一处置，</w:t>
      </w:r>
      <w:r>
        <w:rPr>
          <w:rFonts w:hint="eastAsia" w:cs="Times New Roman"/>
        </w:rPr>
        <w:t>而张家</w:t>
      </w:r>
      <w:r>
        <w:rPr>
          <w:rFonts w:cs="Times New Roman"/>
        </w:rPr>
        <w:t>圪</w:t>
      </w:r>
      <w:r>
        <w:rPr>
          <w:rFonts w:hint="eastAsia" w:cs="Times New Roman"/>
          <w:lang w:eastAsia="zh-CN"/>
        </w:rPr>
        <w:t>坨</w:t>
      </w:r>
      <w:r>
        <w:rPr>
          <w:rFonts w:cs="Times New Roman"/>
        </w:rPr>
        <w:t>村临近保德县污水处理站，建议将其纳入保德县污水处理站处理。保德县污水处理站位于东关镇李贤</w:t>
      </w:r>
      <w:r>
        <w:rPr>
          <w:rFonts w:hint="eastAsia" w:cs="Times New Roman"/>
          <w:lang w:eastAsia="zh-CN"/>
        </w:rPr>
        <w:t>堎</w:t>
      </w:r>
      <w:r>
        <w:rPr>
          <w:rFonts w:cs="Times New Roman"/>
        </w:rPr>
        <w:t>村，2009年7月开工建设，2010年9月完成管网建设，并投入使用。污水处理采用A/A/O化学辅助除磷工艺。设计日处理污水1.5万m</w:t>
      </w:r>
      <w:r>
        <w:rPr>
          <w:rFonts w:cs="Times New Roman"/>
          <w:vertAlign w:val="superscript"/>
        </w:rPr>
        <w:t>3</w:t>
      </w:r>
      <w:r>
        <w:rPr>
          <w:rFonts w:cs="Times New Roman"/>
        </w:rPr>
        <w:t>/d，污水排放标准出水水质为一级A标准，水质COD、氨氮及总磷达到地表水环境质量标准V类。根据调查数据，铁匠铺生活污水排放量66.6m</w:t>
      </w:r>
      <w:r>
        <w:rPr>
          <w:rFonts w:cs="Times New Roman"/>
          <w:vertAlign w:val="superscript"/>
        </w:rPr>
        <w:t>3</w:t>
      </w:r>
      <w:r>
        <w:rPr>
          <w:rFonts w:cs="Times New Roman"/>
        </w:rPr>
        <w:t>/d、郭家滩村生活污水排放量191.4m</w:t>
      </w:r>
      <w:r>
        <w:rPr>
          <w:rFonts w:cs="Times New Roman"/>
          <w:vertAlign w:val="superscript"/>
        </w:rPr>
        <w:t>3</w:t>
      </w:r>
      <w:r>
        <w:rPr>
          <w:rFonts w:cs="Times New Roman"/>
        </w:rPr>
        <w:t>/d、马家洼村生活污水排放量347.2m</w:t>
      </w:r>
      <w:r>
        <w:rPr>
          <w:rFonts w:cs="Times New Roman"/>
          <w:vertAlign w:val="superscript"/>
        </w:rPr>
        <w:t>3</w:t>
      </w:r>
      <w:r>
        <w:rPr>
          <w:rFonts w:cs="Times New Roman"/>
        </w:rPr>
        <w:t>/d、王家滩村生活污水排放量82.8m</w:t>
      </w:r>
      <w:r>
        <w:rPr>
          <w:rFonts w:cs="Times New Roman"/>
          <w:vertAlign w:val="superscript"/>
        </w:rPr>
        <w:t>3</w:t>
      </w:r>
      <w:r>
        <w:rPr>
          <w:rFonts w:cs="Times New Roman"/>
        </w:rPr>
        <w:t>/d</w:t>
      </w:r>
      <w:r>
        <w:rPr>
          <w:rFonts w:hint="eastAsia" w:cs="Times New Roman"/>
        </w:rPr>
        <w:t>，张家圪塔村生活污水</w:t>
      </w:r>
      <w:r>
        <w:rPr>
          <w:rFonts w:cs="Times New Roman"/>
        </w:rPr>
        <w:t>排放量</w:t>
      </w:r>
      <w:r>
        <w:rPr>
          <w:rFonts w:hint="eastAsia" w:cs="Times New Roman"/>
        </w:rPr>
        <w:t>36.57</w:t>
      </w:r>
      <w:r>
        <w:rPr>
          <w:rFonts w:cs="Times New Roman"/>
        </w:rPr>
        <w:t xml:space="preserve"> m</w:t>
      </w:r>
      <w:r>
        <w:rPr>
          <w:rFonts w:cs="Times New Roman"/>
          <w:vertAlign w:val="superscript"/>
        </w:rPr>
        <w:t>3</w:t>
      </w:r>
      <w:r>
        <w:rPr>
          <w:rFonts w:cs="Times New Roman"/>
        </w:rPr>
        <w:t>/d。因此，建议将上述5个村落纳入其管网处理。</w:t>
      </w:r>
    </w:p>
    <w:p>
      <w:pPr>
        <w:pStyle w:val="16"/>
        <w:ind w:firstLine="420"/>
        <w:rPr>
          <w:rFonts w:eastAsia="黑体" w:cs="Times New Roman"/>
          <w:b w:val="0"/>
          <w:bCs/>
        </w:rPr>
      </w:pPr>
      <w:r>
        <w:rPr>
          <w:rFonts w:eastAsia="黑体" w:cs="Times New Roman"/>
          <w:b w:val="0"/>
          <w:bCs/>
        </w:rPr>
        <w:t>表5-2  纳入城镇管网处理村庄</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
        <w:gridCol w:w="3216"/>
        <w:gridCol w:w="850"/>
        <w:gridCol w:w="42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blHeader/>
        </w:trPr>
        <w:tc>
          <w:tcPr>
            <w:tcW w:w="396" w:type="pc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序号</w:t>
            </w:r>
          </w:p>
        </w:tc>
        <w:tc>
          <w:tcPr>
            <w:tcW w:w="1774"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污水处理厂</w:t>
            </w:r>
          </w:p>
        </w:tc>
        <w:tc>
          <w:tcPr>
            <w:tcW w:w="469" w:type="pc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乡镇</w:t>
            </w:r>
          </w:p>
        </w:tc>
        <w:tc>
          <w:tcPr>
            <w:tcW w:w="2359" w:type="pc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396" w:type="pct"/>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w:t>
            </w:r>
          </w:p>
        </w:tc>
        <w:tc>
          <w:tcPr>
            <w:tcW w:w="1774" w:type="pct"/>
            <w:shd w:val="clear" w:color="auto" w:fill="auto"/>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保德县污水处理站</w:t>
            </w:r>
          </w:p>
        </w:tc>
        <w:tc>
          <w:tcPr>
            <w:tcW w:w="469" w:type="pct"/>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sz w:val="21"/>
                <w:szCs w:val="21"/>
              </w:rPr>
              <w:t>东关镇</w:t>
            </w:r>
          </w:p>
        </w:tc>
        <w:tc>
          <w:tcPr>
            <w:tcW w:w="2359" w:type="pct"/>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铁匠铺村、郭家滩村、</w:t>
            </w:r>
            <w:r>
              <w:rPr>
                <w:rFonts w:hint="eastAsia" w:cs="Times New Roman"/>
                <w:kern w:val="0"/>
                <w:sz w:val="21"/>
                <w:szCs w:val="21"/>
              </w:rPr>
              <w:t>马家滩村、</w:t>
            </w:r>
            <w:r>
              <w:rPr>
                <w:rFonts w:cs="Times New Roman"/>
                <w:kern w:val="0"/>
                <w:sz w:val="21"/>
                <w:szCs w:val="21"/>
              </w:rPr>
              <w:t>王家滩村</w:t>
            </w:r>
            <w:r>
              <w:rPr>
                <w:rFonts w:hint="eastAsia" w:cs="Times New Roman"/>
                <w:kern w:val="0"/>
                <w:sz w:val="21"/>
                <w:szCs w:val="21"/>
              </w:rPr>
              <w:t>和</w:t>
            </w:r>
            <w:r>
              <w:rPr>
                <w:rFonts w:cs="Times New Roman"/>
                <w:kern w:val="0"/>
                <w:sz w:val="21"/>
                <w:szCs w:val="21"/>
              </w:rPr>
              <w:t>张家圪</w:t>
            </w:r>
            <w:r>
              <w:rPr>
                <w:rFonts w:hint="eastAsia" w:cs="Times New Roman"/>
                <w:kern w:val="0"/>
                <w:sz w:val="21"/>
                <w:szCs w:val="21"/>
                <w:lang w:eastAsia="zh-CN"/>
              </w:rPr>
              <w:t>坨</w:t>
            </w:r>
            <w:r>
              <w:rPr>
                <w:rFonts w:cs="Times New Roman"/>
                <w:kern w:val="0"/>
                <w:sz w:val="21"/>
                <w:szCs w:val="21"/>
              </w:rPr>
              <w:t>村</w:t>
            </w:r>
          </w:p>
        </w:tc>
      </w:tr>
    </w:tbl>
    <w:p>
      <w:pPr>
        <w:pStyle w:val="8"/>
        <w:rPr>
          <w:rFonts w:ascii="Times New Roman" w:hAnsi="Times New Roman" w:cs="Times New Roman"/>
        </w:rPr>
      </w:pPr>
      <w:bookmarkStart w:id="40" w:name="RANGE!A1:D29"/>
      <w:bookmarkEnd w:id="40"/>
      <w:r>
        <w:rPr>
          <w:rFonts w:ascii="Times New Roman" w:hAnsi="Times New Roman" w:cs="Times New Roman"/>
        </w:rPr>
        <w:t>5.1.2 集中处理</w:t>
      </w:r>
    </w:p>
    <w:p>
      <w:pPr>
        <w:ind w:firstLine="480"/>
        <w:rPr>
          <w:rFonts w:cs="Times New Roman"/>
        </w:rPr>
      </w:pPr>
      <w:r>
        <w:rPr>
          <w:rFonts w:cs="Times New Roman"/>
        </w:rPr>
        <w:t>农村污水集中处理模式，指对农户产生的污水进行集中收集，统一建设处理设施处理村庄全部污水。具有占地面积小、抗冲击能力强、运行安全可靠、出水水质好等特点。</w:t>
      </w:r>
    </w:p>
    <w:p>
      <w:pPr>
        <w:ind w:firstLine="480"/>
        <w:rPr>
          <w:rFonts w:cs="Times New Roman"/>
        </w:rPr>
      </w:pPr>
      <w:r>
        <w:rPr>
          <w:rFonts w:cs="Times New Roman"/>
        </w:rPr>
        <w:t>对人口规模较大、聚集程度较高、不具备接管条件，有一定基础设施或具备一定发展潜力，住宅建设集中、整齐、有一定比例楼房的村庄，宜通过敷设污水管道集中收集、集中处理生活污水。中心村、重点村等人口较多、经济基础较好，公共设施和基础设施较完善，交通较便捷，用地条件较好或耕地资源较丰富，宜采用村庄集中污水处理。</w:t>
      </w:r>
    </w:p>
    <w:p>
      <w:pPr>
        <w:ind w:firstLine="480"/>
        <w:rPr>
          <w:rFonts w:cs="Times New Roman"/>
        </w:rPr>
      </w:pPr>
      <w:r>
        <w:rPr>
          <w:rFonts w:cs="Times New Roman"/>
        </w:rPr>
        <w:t>对由于河流和国道、省道或地势分开的村庄，可分片建设多套污水收集管网和处理设施；对于地理上相邻的多个村庄，可各建污水收集管网，合建一套污水处理设施。村庄分区主要考虑地形与人口分布情况，所形成的分区一方面应尽量使污水能够以重力流收集汇合，避免中途提升，另一方面每个分区内也需要有足够的污水排放量，避免分区内的污水处理设施闲置。</w:t>
      </w:r>
    </w:p>
    <w:p>
      <w:pPr>
        <w:ind w:firstLine="480"/>
        <w:rPr>
          <w:rFonts w:cs="Times New Roman"/>
        </w:rPr>
      </w:pPr>
      <w:r>
        <w:rPr>
          <w:rFonts w:cs="Times New Roman"/>
        </w:rPr>
        <w:t>根据《保德县县域建制镇生活污水处理设施建设专项规划》（2020—2025），桥头镇区2025年的生活污水量为215.6m</w:t>
      </w:r>
      <w:r>
        <w:rPr>
          <w:rFonts w:cs="Times New Roman"/>
          <w:vertAlign w:val="superscript"/>
        </w:rPr>
        <w:t>3</w:t>
      </w:r>
      <w:r>
        <w:rPr>
          <w:rFonts w:cs="Times New Roman"/>
        </w:rPr>
        <w:t>/d，规划新建一座污水处理站，设计规模为220m</w:t>
      </w:r>
      <w:r>
        <w:rPr>
          <w:rFonts w:cs="Times New Roman"/>
          <w:vertAlign w:val="superscript"/>
        </w:rPr>
        <w:t>3</w:t>
      </w:r>
      <w:r>
        <w:rPr>
          <w:rFonts w:cs="Times New Roman"/>
        </w:rPr>
        <w:t>/d，占地面积约450 m</w:t>
      </w:r>
      <w:r>
        <w:rPr>
          <w:rFonts w:cs="Times New Roman"/>
          <w:vertAlign w:val="superscript"/>
        </w:rPr>
        <w:t>2</w:t>
      </w:r>
      <w:r>
        <w:rPr>
          <w:rFonts w:cs="Times New Roman"/>
        </w:rPr>
        <w:t>；杨家湾镇区2025年的生活污水量为28.93m</w:t>
      </w:r>
      <w:r>
        <w:rPr>
          <w:rFonts w:cs="Times New Roman"/>
          <w:vertAlign w:val="superscript"/>
        </w:rPr>
        <w:t>3</w:t>
      </w:r>
      <w:r>
        <w:rPr>
          <w:rFonts w:cs="Times New Roman"/>
        </w:rPr>
        <w:t>/d，镇区内正在建设一座生活污水设施，设计规模为200m</w:t>
      </w:r>
      <w:r>
        <w:rPr>
          <w:rFonts w:cs="Times New Roman"/>
          <w:vertAlign w:val="superscript"/>
        </w:rPr>
        <w:t>3</w:t>
      </w:r>
      <w:r>
        <w:rPr>
          <w:rFonts w:cs="Times New Roman"/>
        </w:rPr>
        <w:t>/d，占地面积约445m</w:t>
      </w:r>
      <w:r>
        <w:rPr>
          <w:rFonts w:cs="Times New Roman"/>
          <w:vertAlign w:val="superscript"/>
        </w:rPr>
        <w:t>2</w:t>
      </w:r>
      <w:r>
        <w:rPr>
          <w:rFonts w:cs="Times New Roman"/>
        </w:rPr>
        <w:t>。</w:t>
      </w:r>
    </w:p>
    <w:p>
      <w:pPr>
        <w:ind w:firstLine="480"/>
        <w:rPr>
          <w:rFonts w:cs="Times New Roman"/>
        </w:rPr>
      </w:pPr>
      <w:r>
        <w:rPr>
          <w:rFonts w:cs="Times New Roman"/>
        </w:rPr>
        <w:t>基于此，</w:t>
      </w:r>
      <w:r>
        <w:rPr>
          <w:rFonts w:hint="eastAsia" w:cs="Times New Roman"/>
        </w:rPr>
        <w:t>选定</w:t>
      </w:r>
      <w:r>
        <w:rPr>
          <w:rFonts w:hint="eastAsia" w:cs="Times New Roman"/>
          <w:lang w:eastAsia="zh-CN"/>
        </w:rPr>
        <w:t>花园</w:t>
      </w:r>
      <w:r>
        <w:rPr>
          <w:rFonts w:hint="eastAsia" w:cs="Times New Roman"/>
        </w:rPr>
        <w:t>村采用</w:t>
      </w:r>
      <w:r>
        <w:rPr>
          <w:rFonts w:cs="Times New Roman"/>
        </w:rPr>
        <w:t>集中</w:t>
      </w:r>
      <w:r>
        <w:rPr>
          <w:rFonts w:hint="eastAsia" w:cs="Times New Roman"/>
        </w:rPr>
        <w:t>治理的</w:t>
      </w:r>
      <w:r>
        <w:rPr>
          <w:rFonts w:cs="Times New Roman"/>
        </w:rPr>
        <w:t>处置方式。详见表5-3。</w:t>
      </w:r>
    </w:p>
    <w:p>
      <w:pPr>
        <w:pStyle w:val="16"/>
        <w:ind w:firstLine="420"/>
        <w:rPr>
          <w:rFonts w:eastAsia="黑体" w:cs="Times New Roman"/>
          <w:b w:val="0"/>
          <w:bCs/>
        </w:rPr>
      </w:pPr>
      <w:r>
        <w:rPr>
          <w:rFonts w:eastAsia="黑体" w:cs="Times New Roman"/>
          <w:b w:val="0"/>
          <w:bCs/>
        </w:rPr>
        <w:t>表5-3  集中处理村庄</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3"/>
        <w:gridCol w:w="3910"/>
        <w:gridCol w:w="1163"/>
        <w:gridCol w:w="31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blHeader/>
        </w:trPr>
        <w:tc>
          <w:tcPr>
            <w:tcW w:w="487" w:type="pc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序号</w:t>
            </w:r>
          </w:p>
        </w:tc>
        <w:tc>
          <w:tcPr>
            <w:tcW w:w="2157" w:type="pct"/>
            <w:shd w:val="clear" w:color="auto" w:fill="auto"/>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污水处理厂</w:t>
            </w:r>
          </w:p>
        </w:tc>
        <w:tc>
          <w:tcPr>
            <w:tcW w:w="641" w:type="pc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乡镇</w:t>
            </w:r>
          </w:p>
        </w:tc>
        <w:tc>
          <w:tcPr>
            <w:tcW w:w="1713" w:type="pc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487" w:type="pct"/>
            <w:shd w:val="clear" w:color="auto" w:fill="auto"/>
            <w:noWrap/>
            <w:vAlign w:val="center"/>
          </w:tcPr>
          <w:p>
            <w:pPr>
              <w:widowControl/>
              <w:spacing w:line="240" w:lineRule="auto"/>
              <w:ind w:firstLine="0" w:firstLineChars="0"/>
              <w:jc w:val="center"/>
              <w:rPr>
                <w:rFonts w:hint="eastAsia" w:eastAsia="宋体" w:cs="Times New Roman"/>
                <w:kern w:val="0"/>
                <w:sz w:val="21"/>
                <w:szCs w:val="21"/>
                <w:lang w:eastAsia="zh-CN"/>
              </w:rPr>
            </w:pPr>
            <w:r>
              <w:rPr>
                <w:rFonts w:hint="eastAsia" w:cs="Times New Roman"/>
                <w:kern w:val="0"/>
                <w:sz w:val="21"/>
                <w:szCs w:val="21"/>
                <w:lang w:val="en-US" w:eastAsia="zh-CN"/>
              </w:rPr>
              <w:t>1</w:t>
            </w:r>
          </w:p>
        </w:tc>
        <w:tc>
          <w:tcPr>
            <w:tcW w:w="2157" w:type="pct"/>
            <w:shd w:val="clear" w:color="auto" w:fill="auto"/>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保德县杨家湾村污水处理设施（</w:t>
            </w:r>
            <w:r>
              <w:rPr>
                <w:rFonts w:hint="eastAsia" w:cs="Times New Roman"/>
                <w:kern w:val="0"/>
                <w:sz w:val="21"/>
                <w:szCs w:val="21"/>
                <w:lang w:eastAsia="zh-CN"/>
              </w:rPr>
              <w:t>改</w:t>
            </w:r>
            <w:r>
              <w:rPr>
                <w:rFonts w:cs="Times New Roman"/>
                <w:kern w:val="0"/>
                <w:sz w:val="21"/>
                <w:szCs w:val="21"/>
              </w:rPr>
              <w:t>建）</w:t>
            </w:r>
          </w:p>
        </w:tc>
        <w:tc>
          <w:tcPr>
            <w:tcW w:w="641" w:type="pct"/>
            <w:shd w:val="clear" w:color="auto" w:fill="auto"/>
            <w:noWrap/>
            <w:vAlign w:val="center"/>
          </w:tcPr>
          <w:p>
            <w:pPr>
              <w:widowControl/>
              <w:spacing w:line="240" w:lineRule="auto"/>
              <w:ind w:firstLine="0" w:firstLineChars="0"/>
              <w:jc w:val="center"/>
              <w:rPr>
                <w:rFonts w:cs="Times New Roman"/>
                <w:sz w:val="21"/>
                <w:szCs w:val="21"/>
              </w:rPr>
            </w:pPr>
            <w:r>
              <w:rPr>
                <w:rFonts w:cs="Times New Roman"/>
                <w:sz w:val="21"/>
                <w:szCs w:val="21"/>
              </w:rPr>
              <w:t>杨家湾镇</w:t>
            </w:r>
          </w:p>
        </w:tc>
        <w:tc>
          <w:tcPr>
            <w:tcW w:w="1713" w:type="pct"/>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花园村</w:t>
            </w:r>
          </w:p>
        </w:tc>
      </w:tr>
    </w:tbl>
    <w:p>
      <w:pPr>
        <w:pStyle w:val="8"/>
        <w:spacing w:line="360" w:lineRule="auto"/>
        <w:rPr>
          <w:rFonts w:ascii="Times New Roman" w:hAnsi="Times New Roman" w:cs="Times New Roman"/>
        </w:rPr>
      </w:pPr>
      <w:r>
        <w:rPr>
          <w:rFonts w:ascii="Times New Roman" w:hAnsi="Times New Roman" w:cs="Times New Roman"/>
        </w:rPr>
        <w:t>5.1.3 分散处理</w:t>
      </w:r>
    </w:p>
    <w:p>
      <w:pPr>
        <w:ind w:firstLine="480"/>
        <w:rPr>
          <w:rFonts w:cs="Times New Roman"/>
        </w:rPr>
      </w:pPr>
      <w:r>
        <w:rPr>
          <w:rFonts w:cs="Times New Roman"/>
        </w:rPr>
        <w:t>分散处理模式是指将较大的一片区域划分为不同的小的区域，每个小的单元是各自独立的系统，单独布置管网系统和污水处理系统，互不影响，并且能够相互促进，提高分散污水处理的协调性和整体性。分散处理模式布局灵活、施工简单、管理方便。具备一定的水质净化能力，不需较大规模的配套管网。</w:t>
      </w:r>
    </w:p>
    <w:p>
      <w:pPr>
        <w:ind w:firstLine="480"/>
        <w:rPr>
          <w:rFonts w:cs="Times New Roman"/>
        </w:rPr>
      </w:pPr>
      <w:r>
        <w:rPr>
          <w:rFonts w:cs="Times New Roman"/>
        </w:rPr>
        <w:t>对于人口规模小、居住较为分散、地形地貌复杂的村庄，建设集中收集管网的成本较高，可就地就近收集、分散处理生活污水，而建设农村污水分散式处理设施不受传统房屋建筑限制，小巧灵活、便捷。</w:t>
      </w:r>
    </w:p>
    <w:p>
      <w:pPr>
        <w:ind w:firstLine="480"/>
        <w:rPr>
          <w:rFonts w:cs="Times New Roman"/>
        </w:rPr>
      </w:pPr>
      <w:r>
        <w:rPr>
          <w:rFonts w:cs="Times New Roman"/>
        </w:rPr>
        <w:t>基于此，对剩余村庄采取分散处理的方式，详见表5-4。</w:t>
      </w:r>
    </w:p>
    <w:p>
      <w:pPr>
        <w:pStyle w:val="16"/>
        <w:ind w:firstLine="0" w:firstLineChars="0"/>
        <w:rPr>
          <w:rFonts w:eastAsia="黑体" w:cs="Times New Roman"/>
          <w:b w:val="0"/>
          <w:bCs/>
        </w:rPr>
      </w:pPr>
      <w:r>
        <w:rPr>
          <w:rFonts w:eastAsia="黑体" w:cs="Times New Roman"/>
          <w:b w:val="0"/>
          <w:bCs/>
        </w:rPr>
        <w:t>表5-4  分散处理村庄</w:t>
      </w:r>
    </w:p>
    <w:tbl>
      <w:tblPr>
        <w:tblStyle w:val="29"/>
        <w:tblW w:w="4901" w:type="pct"/>
        <w:jc w:val="center"/>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autofit"/>
        <w:tblCellMar>
          <w:top w:w="0" w:type="dxa"/>
          <w:left w:w="108" w:type="dxa"/>
          <w:bottom w:w="0" w:type="dxa"/>
          <w:right w:w="108" w:type="dxa"/>
        </w:tblCellMar>
      </w:tblPr>
      <w:tblGrid>
        <w:gridCol w:w="1752"/>
        <w:gridCol w:w="1754"/>
        <w:gridCol w:w="3554"/>
        <w:gridCol w:w="1821"/>
      </w:tblGrid>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20" w:hRule="atLeast"/>
          <w:tblHeader/>
          <w:jc w:val="center"/>
        </w:trPr>
        <w:tc>
          <w:tcPr>
            <w:tcW w:w="986" w:type="pct"/>
            <w:tcBorders>
              <w:bottom w:val="single" w:color="auto" w:sz="4" w:space="0"/>
              <w:right w:val="single" w:color="auto" w:sz="4" w:space="0"/>
            </w:tcBorders>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序号</w:t>
            </w:r>
          </w:p>
        </w:tc>
        <w:tc>
          <w:tcPr>
            <w:tcW w:w="987" w:type="pct"/>
            <w:tcBorders>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bookmarkStart w:id="41" w:name="_Hlk25693528"/>
            <w:r>
              <w:rPr>
                <w:rFonts w:eastAsia="黑体" w:cs="Times New Roman"/>
                <w:kern w:val="0"/>
                <w:sz w:val="21"/>
                <w:szCs w:val="21"/>
              </w:rPr>
              <w:t>乡镇</w:t>
            </w:r>
          </w:p>
        </w:tc>
        <w:tc>
          <w:tcPr>
            <w:tcW w:w="2000" w:type="pct"/>
            <w:tcBorders>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1025" w:type="pct"/>
            <w:tcBorders>
              <w:left w:val="single" w:color="auto" w:sz="4" w:space="0"/>
              <w:bottom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处理模式</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20" w:hRule="atLeast"/>
          <w:jc w:val="center"/>
        </w:trPr>
        <w:tc>
          <w:tcPr>
            <w:tcW w:w="986" w:type="pct"/>
            <w:tcBorders>
              <w:top w:val="single" w:color="auto" w:sz="4" w:space="0"/>
              <w:bottom w:val="single" w:color="auto" w:sz="4" w:space="0"/>
              <w:right w:val="single" w:color="auto" w:sz="4" w:space="0"/>
            </w:tcBorders>
            <w:vAlign w:val="center"/>
          </w:tcPr>
          <w:p>
            <w:pPr>
              <w:widowControl/>
              <w:spacing w:line="240" w:lineRule="auto"/>
              <w:ind w:firstLine="0" w:firstLineChars="0"/>
              <w:jc w:val="center"/>
              <w:rPr>
                <w:rFonts w:hint="eastAsia" w:eastAsia="宋体" w:cs="Times New Roman"/>
                <w:kern w:val="0"/>
                <w:sz w:val="21"/>
                <w:szCs w:val="21"/>
                <w:lang w:val="en-US" w:eastAsia="zh-CN"/>
              </w:rPr>
            </w:pPr>
            <w:r>
              <w:rPr>
                <w:rFonts w:hint="eastAsia" w:cs="Times New Roman"/>
                <w:kern w:val="0"/>
                <w:sz w:val="21"/>
                <w:szCs w:val="21"/>
                <w:lang w:val="en-US" w:eastAsia="zh-CN"/>
              </w:rPr>
              <w:t>1</w:t>
            </w:r>
          </w:p>
        </w:tc>
        <w:tc>
          <w:tcPr>
            <w:tcW w:w="987"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hint="eastAsia" w:eastAsia="宋体" w:cs="Times New Roman"/>
                <w:kern w:val="0"/>
                <w:sz w:val="21"/>
                <w:szCs w:val="21"/>
                <w:lang w:eastAsia="zh-CN"/>
              </w:rPr>
            </w:pPr>
            <w:r>
              <w:rPr>
                <w:rFonts w:hint="eastAsia" w:cs="Times New Roman"/>
                <w:kern w:val="0"/>
                <w:sz w:val="21"/>
                <w:szCs w:val="21"/>
                <w:lang w:eastAsia="zh-CN"/>
              </w:rPr>
              <w:t>义门镇</w:t>
            </w:r>
          </w:p>
        </w:tc>
        <w:tc>
          <w:tcPr>
            <w:tcW w:w="2000" w:type="pct"/>
            <w:tcBorders>
              <w:top w:val="single" w:color="auto" w:sz="4" w:space="0"/>
              <w:left w:val="single" w:color="auto" w:sz="4" w:space="0"/>
              <w:bottom w:val="single" w:color="auto" w:sz="4" w:space="0"/>
              <w:right w:val="single" w:color="auto" w:sz="4" w:space="0"/>
            </w:tcBorders>
            <w:shd w:val="clear" w:color="auto" w:fill="auto"/>
            <w:noWrap/>
          </w:tcPr>
          <w:p>
            <w:pPr>
              <w:widowControl/>
              <w:spacing w:line="240" w:lineRule="auto"/>
              <w:ind w:firstLine="0" w:firstLineChars="0"/>
              <w:jc w:val="center"/>
              <w:rPr>
                <w:rFonts w:hint="eastAsia" w:eastAsia="宋体" w:cs="Times New Roman"/>
                <w:kern w:val="0"/>
                <w:sz w:val="21"/>
                <w:szCs w:val="21"/>
                <w:lang w:eastAsia="zh-CN"/>
              </w:rPr>
            </w:pPr>
            <w:r>
              <w:rPr>
                <w:rFonts w:hint="eastAsia" w:cs="Times New Roman"/>
                <w:kern w:val="0"/>
                <w:sz w:val="21"/>
                <w:szCs w:val="21"/>
                <w:lang w:eastAsia="zh-CN"/>
              </w:rPr>
              <w:t>刘家畔村</w:t>
            </w:r>
          </w:p>
        </w:tc>
        <w:tc>
          <w:tcPr>
            <w:tcW w:w="1025" w:type="pct"/>
            <w:tcBorders>
              <w:top w:val="single" w:color="auto" w:sz="4" w:space="0"/>
              <w:left w:val="single" w:color="auto" w:sz="4" w:space="0"/>
              <w:bottom w:val="single" w:color="auto" w:sz="4" w:space="0"/>
            </w:tcBorders>
            <w:shd w:val="clear" w:color="auto" w:fill="auto"/>
            <w:noWrap/>
          </w:tcPr>
          <w:p>
            <w:pPr>
              <w:widowControl/>
              <w:spacing w:line="240" w:lineRule="auto"/>
              <w:ind w:firstLine="0" w:firstLineChars="0"/>
              <w:jc w:val="center"/>
              <w:rPr>
                <w:rFonts w:cs="Times New Roman"/>
                <w:kern w:val="0"/>
                <w:sz w:val="21"/>
                <w:szCs w:val="21"/>
              </w:rPr>
            </w:pPr>
            <w:r>
              <w:rPr>
                <w:rFonts w:cs="Times New Roman"/>
                <w:kern w:val="0"/>
                <w:sz w:val="21"/>
                <w:szCs w:val="21"/>
              </w:rPr>
              <w:t>分散</w:t>
            </w:r>
            <w:r>
              <w:rPr>
                <w:rFonts w:hint="eastAsia" w:cs="Times New Roman"/>
                <w:kern w:val="0"/>
                <w:sz w:val="21"/>
                <w:szCs w:val="21"/>
              </w:rPr>
              <w:t>治理</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20" w:hRule="atLeast"/>
          <w:jc w:val="center"/>
        </w:trPr>
        <w:tc>
          <w:tcPr>
            <w:tcW w:w="986" w:type="pct"/>
            <w:tcBorders>
              <w:top w:val="single" w:color="auto" w:sz="4" w:space="0"/>
              <w:bottom w:val="single" w:color="auto" w:sz="4" w:space="0"/>
              <w:right w:val="single" w:color="auto" w:sz="4" w:space="0"/>
            </w:tcBorders>
            <w:vAlign w:val="center"/>
          </w:tcPr>
          <w:p>
            <w:pPr>
              <w:widowControl/>
              <w:spacing w:line="240" w:lineRule="auto"/>
              <w:ind w:firstLine="0" w:firstLineChars="0"/>
              <w:jc w:val="center"/>
              <w:rPr>
                <w:rFonts w:hint="eastAsia" w:eastAsia="宋体" w:cs="Times New Roman"/>
                <w:kern w:val="0"/>
                <w:sz w:val="21"/>
                <w:szCs w:val="21"/>
                <w:lang w:val="en-US" w:eastAsia="zh-CN"/>
              </w:rPr>
            </w:pPr>
            <w:r>
              <w:rPr>
                <w:rFonts w:hint="eastAsia" w:cs="Times New Roman"/>
                <w:kern w:val="0"/>
                <w:sz w:val="21"/>
                <w:szCs w:val="21"/>
                <w:lang w:val="en-US" w:eastAsia="zh-CN"/>
              </w:rPr>
              <w:t>2</w:t>
            </w:r>
          </w:p>
        </w:tc>
        <w:tc>
          <w:tcPr>
            <w:tcW w:w="987"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hint="eastAsia" w:eastAsia="宋体" w:cs="Times New Roman"/>
                <w:kern w:val="0"/>
                <w:sz w:val="21"/>
                <w:szCs w:val="21"/>
                <w:lang w:eastAsia="zh-CN"/>
              </w:rPr>
            </w:pPr>
            <w:r>
              <w:rPr>
                <w:rFonts w:hint="eastAsia" w:cs="Times New Roman"/>
                <w:kern w:val="0"/>
                <w:sz w:val="21"/>
                <w:szCs w:val="21"/>
                <w:lang w:eastAsia="zh-CN"/>
              </w:rPr>
              <w:t>桥头镇</w:t>
            </w:r>
          </w:p>
        </w:tc>
        <w:tc>
          <w:tcPr>
            <w:tcW w:w="2000" w:type="pct"/>
            <w:tcBorders>
              <w:top w:val="single" w:color="auto" w:sz="4" w:space="0"/>
              <w:left w:val="single" w:color="auto" w:sz="4" w:space="0"/>
              <w:bottom w:val="single" w:color="auto" w:sz="4" w:space="0"/>
              <w:right w:val="single" w:color="auto" w:sz="4" w:space="0"/>
            </w:tcBorders>
            <w:shd w:val="clear" w:color="auto" w:fill="auto"/>
            <w:noWrap/>
          </w:tcPr>
          <w:p>
            <w:pPr>
              <w:widowControl/>
              <w:spacing w:line="240" w:lineRule="auto"/>
              <w:ind w:firstLine="0" w:firstLineChars="0"/>
              <w:jc w:val="center"/>
              <w:rPr>
                <w:rFonts w:hint="eastAsia" w:eastAsia="宋体" w:cs="Times New Roman"/>
                <w:kern w:val="0"/>
                <w:sz w:val="21"/>
                <w:szCs w:val="21"/>
                <w:lang w:eastAsia="zh-CN"/>
              </w:rPr>
            </w:pPr>
            <w:r>
              <w:rPr>
                <w:rFonts w:hint="eastAsia" w:cs="Times New Roman"/>
                <w:kern w:val="0"/>
                <w:sz w:val="21"/>
                <w:szCs w:val="21"/>
                <w:lang w:eastAsia="zh-CN"/>
              </w:rPr>
              <w:t>夏柳青村</w:t>
            </w:r>
          </w:p>
        </w:tc>
        <w:tc>
          <w:tcPr>
            <w:tcW w:w="1025" w:type="pct"/>
            <w:tcBorders>
              <w:top w:val="single" w:color="auto" w:sz="4" w:space="0"/>
              <w:left w:val="single" w:color="auto" w:sz="4" w:space="0"/>
              <w:bottom w:val="single" w:color="auto" w:sz="4" w:space="0"/>
            </w:tcBorders>
            <w:shd w:val="clear" w:color="auto" w:fill="auto"/>
            <w:noWrap/>
          </w:tcPr>
          <w:p>
            <w:pPr>
              <w:widowControl/>
              <w:spacing w:line="240" w:lineRule="auto"/>
              <w:ind w:firstLine="0" w:firstLineChars="0"/>
              <w:jc w:val="center"/>
              <w:rPr>
                <w:rFonts w:cs="Times New Roman"/>
                <w:kern w:val="0"/>
                <w:sz w:val="21"/>
                <w:szCs w:val="21"/>
              </w:rPr>
            </w:pPr>
            <w:r>
              <w:rPr>
                <w:rFonts w:cs="Times New Roman"/>
                <w:kern w:val="0"/>
                <w:sz w:val="21"/>
                <w:szCs w:val="21"/>
              </w:rPr>
              <w:t>分散</w:t>
            </w:r>
            <w:r>
              <w:rPr>
                <w:rFonts w:hint="eastAsia" w:cs="Times New Roman"/>
                <w:kern w:val="0"/>
                <w:sz w:val="21"/>
                <w:szCs w:val="21"/>
              </w:rPr>
              <w:t>治理</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20" w:hRule="atLeast"/>
          <w:jc w:val="center"/>
        </w:trPr>
        <w:tc>
          <w:tcPr>
            <w:tcW w:w="986" w:type="pct"/>
            <w:tcBorders>
              <w:top w:val="single" w:color="auto" w:sz="4" w:space="0"/>
              <w:bottom w:val="single" w:color="auto" w:sz="4" w:space="0"/>
              <w:right w:val="single" w:color="auto" w:sz="4" w:space="0"/>
            </w:tcBorders>
            <w:vAlign w:val="center"/>
          </w:tcPr>
          <w:p>
            <w:pPr>
              <w:widowControl/>
              <w:spacing w:line="240" w:lineRule="auto"/>
              <w:ind w:firstLine="0" w:firstLineChars="0"/>
              <w:jc w:val="center"/>
              <w:rPr>
                <w:rFonts w:hint="eastAsia" w:eastAsia="宋体" w:cs="Times New Roman"/>
                <w:kern w:val="0"/>
                <w:sz w:val="21"/>
                <w:szCs w:val="21"/>
                <w:lang w:eastAsia="zh-CN"/>
              </w:rPr>
            </w:pPr>
            <w:r>
              <w:rPr>
                <w:rFonts w:hint="eastAsia" w:cs="Times New Roman"/>
                <w:kern w:val="0"/>
                <w:sz w:val="21"/>
                <w:szCs w:val="21"/>
                <w:lang w:val="en-US" w:eastAsia="zh-CN"/>
              </w:rPr>
              <w:t>3</w:t>
            </w:r>
          </w:p>
        </w:tc>
        <w:tc>
          <w:tcPr>
            <w:tcW w:w="987"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腰庄乡</w:t>
            </w:r>
          </w:p>
        </w:tc>
        <w:tc>
          <w:tcPr>
            <w:tcW w:w="2000" w:type="pct"/>
            <w:tcBorders>
              <w:top w:val="single" w:color="auto" w:sz="4" w:space="0"/>
              <w:left w:val="single" w:color="auto" w:sz="4" w:space="0"/>
              <w:bottom w:val="single" w:color="auto" w:sz="4" w:space="0"/>
              <w:right w:val="single" w:color="auto" w:sz="4" w:space="0"/>
            </w:tcBorders>
            <w:shd w:val="clear" w:color="auto" w:fill="auto"/>
            <w:noWrap/>
          </w:tcPr>
          <w:p>
            <w:pPr>
              <w:widowControl/>
              <w:spacing w:line="240" w:lineRule="auto"/>
              <w:ind w:firstLine="0" w:firstLineChars="0"/>
              <w:jc w:val="center"/>
              <w:rPr>
                <w:rFonts w:cs="Times New Roman"/>
                <w:kern w:val="0"/>
                <w:sz w:val="21"/>
                <w:szCs w:val="21"/>
              </w:rPr>
            </w:pPr>
            <w:r>
              <w:rPr>
                <w:rFonts w:cs="Times New Roman"/>
                <w:kern w:val="0"/>
                <w:sz w:val="21"/>
                <w:szCs w:val="21"/>
              </w:rPr>
              <w:t>后芦子村</w:t>
            </w:r>
          </w:p>
        </w:tc>
        <w:tc>
          <w:tcPr>
            <w:tcW w:w="1025" w:type="pct"/>
            <w:tcBorders>
              <w:top w:val="single" w:color="auto" w:sz="4" w:space="0"/>
              <w:left w:val="single" w:color="auto" w:sz="4" w:space="0"/>
              <w:bottom w:val="single" w:color="auto" w:sz="4" w:space="0"/>
            </w:tcBorders>
            <w:shd w:val="clear" w:color="auto" w:fill="auto"/>
            <w:noWrap/>
          </w:tcPr>
          <w:p>
            <w:pPr>
              <w:widowControl/>
              <w:spacing w:line="240" w:lineRule="auto"/>
              <w:ind w:firstLine="0" w:firstLineChars="0"/>
              <w:jc w:val="center"/>
              <w:rPr>
                <w:rFonts w:cs="Times New Roman"/>
                <w:kern w:val="0"/>
                <w:sz w:val="21"/>
                <w:szCs w:val="21"/>
              </w:rPr>
            </w:pPr>
            <w:r>
              <w:rPr>
                <w:rFonts w:cs="Times New Roman"/>
                <w:kern w:val="0"/>
                <w:sz w:val="21"/>
                <w:szCs w:val="21"/>
              </w:rPr>
              <w:t>分散</w:t>
            </w:r>
            <w:r>
              <w:rPr>
                <w:rFonts w:hint="eastAsia" w:cs="Times New Roman"/>
                <w:kern w:val="0"/>
                <w:sz w:val="21"/>
                <w:szCs w:val="21"/>
              </w:rPr>
              <w:t>治理</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20" w:hRule="atLeast"/>
          <w:jc w:val="center"/>
        </w:trPr>
        <w:tc>
          <w:tcPr>
            <w:tcW w:w="986" w:type="pct"/>
            <w:tcBorders>
              <w:top w:val="single" w:color="auto" w:sz="4" w:space="0"/>
              <w:bottom w:val="single" w:color="auto" w:sz="4" w:space="0"/>
              <w:right w:val="single" w:color="auto" w:sz="4" w:space="0"/>
            </w:tcBorders>
            <w:vAlign w:val="center"/>
          </w:tcPr>
          <w:p>
            <w:pPr>
              <w:widowControl/>
              <w:spacing w:line="240" w:lineRule="auto"/>
              <w:ind w:firstLine="0" w:firstLineChars="0"/>
              <w:jc w:val="center"/>
              <w:rPr>
                <w:rFonts w:hint="eastAsia" w:eastAsia="宋体" w:cs="Times New Roman"/>
                <w:kern w:val="0"/>
                <w:sz w:val="21"/>
                <w:szCs w:val="21"/>
                <w:lang w:eastAsia="zh-CN"/>
              </w:rPr>
            </w:pPr>
            <w:r>
              <w:rPr>
                <w:rFonts w:hint="eastAsia" w:cs="Times New Roman"/>
                <w:kern w:val="0"/>
                <w:sz w:val="21"/>
                <w:szCs w:val="21"/>
                <w:lang w:val="en-US" w:eastAsia="zh-CN"/>
              </w:rPr>
              <w:t>4</w:t>
            </w:r>
          </w:p>
        </w:tc>
        <w:tc>
          <w:tcPr>
            <w:tcW w:w="98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kern w:val="0"/>
                <w:sz w:val="21"/>
                <w:szCs w:val="21"/>
                <w:lang w:eastAsia="zh-CN"/>
              </w:rPr>
            </w:pPr>
            <w:r>
              <w:rPr>
                <w:rFonts w:hint="eastAsia" w:cs="Times New Roman"/>
                <w:kern w:val="0"/>
                <w:sz w:val="21"/>
                <w:szCs w:val="21"/>
                <w:lang w:eastAsia="zh-CN"/>
              </w:rPr>
              <w:t>冯家川乡</w:t>
            </w:r>
          </w:p>
        </w:tc>
        <w:tc>
          <w:tcPr>
            <w:tcW w:w="200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lang w:eastAsia="zh-CN"/>
              </w:rPr>
              <w:t>冯家川</w:t>
            </w:r>
            <w:r>
              <w:rPr>
                <w:rFonts w:cs="Times New Roman"/>
                <w:kern w:val="0"/>
                <w:sz w:val="21"/>
                <w:szCs w:val="21"/>
              </w:rPr>
              <w:t>村</w:t>
            </w:r>
          </w:p>
        </w:tc>
        <w:tc>
          <w:tcPr>
            <w:tcW w:w="1025" w:type="pct"/>
            <w:tcBorders>
              <w:top w:val="single" w:color="auto" w:sz="4" w:space="0"/>
              <w:left w:val="single" w:color="auto" w:sz="4" w:space="0"/>
              <w:bottom w:val="single" w:color="auto" w:sz="4" w:space="0"/>
              <w:right w:val="single" w:color="auto" w:sz="4" w:space="0"/>
            </w:tcBorders>
            <w:shd w:val="clear" w:color="auto" w:fill="auto"/>
            <w:noWrap/>
          </w:tcPr>
          <w:p>
            <w:pPr>
              <w:widowControl/>
              <w:spacing w:line="240" w:lineRule="auto"/>
              <w:ind w:firstLine="0" w:firstLineChars="0"/>
              <w:jc w:val="center"/>
              <w:rPr>
                <w:rFonts w:cs="Times New Roman"/>
                <w:kern w:val="0"/>
                <w:sz w:val="21"/>
                <w:szCs w:val="21"/>
              </w:rPr>
            </w:pPr>
            <w:r>
              <w:rPr>
                <w:rFonts w:cs="Times New Roman"/>
                <w:kern w:val="0"/>
                <w:sz w:val="21"/>
                <w:szCs w:val="21"/>
              </w:rPr>
              <w:t>分散</w:t>
            </w:r>
            <w:r>
              <w:rPr>
                <w:rFonts w:hint="eastAsia" w:cs="Times New Roman"/>
                <w:kern w:val="0"/>
                <w:sz w:val="21"/>
                <w:szCs w:val="21"/>
              </w:rPr>
              <w:t>治理</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20" w:hRule="atLeast"/>
          <w:jc w:val="center"/>
        </w:trPr>
        <w:tc>
          <w:tcPr>
            <w:tcW w:w="986" w:type="pct"/>
            <w:tcBorders>
              <w:top w:val="single" w:color="auto" w:sz="4" w:space="0"/>
              <w:bottom w:val="single" w:color="auto" w:sz="4" w:space="0"/>
              <w:right w:val="single" w:color="auto" w:sz="4" w:space="0"/>
            </w:tcBorders>
            <w:vAlign w:val="center"/>
          </w:tcPr>
          <w:p>
            <w:pPr>
              <w:widowControl/>
              <w:spacing w:line="240" w:lineRule="auto"/>
              <w:ind w:firstLine="0" w:firstLineChars="0"/>
              <w:jc w:val="center"/>
              <w:rPr>
                <w:rFonts w:hint="eastAsia" w:eastAsia="宋体" w:cs="Times New Roman"/>
                <w:kern w:val="0"/>
                <w:sz w:val="21"/>
                <w:szCs w:val="21"/>
                <w:lang w:val="en-US" w:eastAsia="zh-CN"/>
              </w:rPr>
            </w:pPr>
            <w:r>
              <w:rPr>
                <w:rFonts w:hint="eastAsia" w:cs="Times New Roman"/>
                <w:kern w:val="0"/>
                <w:sz w:val="21"/>
                <w:szCs w:val="21"/>
                <w:lang w:val="en-US" w:eastAsia="zh-CN"/>
              </w:rPr>
              <w:t>5</w:t>
            </w:r>
          </w:p>
        </w:tc>
        <w:tc>
          <w:tcPr>
            <w:tcW w:w="98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kern w:val="0"/>
                <w:sz w:val="21"/>
                <w:szCs w:val="21"/>
                <w:lang w:eastAsia="zh-CN"/>
              </w:rPr>
            </w:pPr>
            <w:r>
              <w:rPr>
                <w:rFonts w:hint="eastAsia" w:cs="Times New Roman"/>
                <w:kern w:val="0"/>
                <w:sz w:val="21"/>
                <w:szCs w:val="21"/>
                <w:lang w:eastAsia="zh-CN"/>
              </w:rPr>
              <w:t>冯家川乡</w:t>
            </w:r>
          </w:p>
        </w:tc>
        <w:tc>
          <w:tcPr>
            <w:tcW w:w="200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kern w:val="0"/>
                <w:sz w:val="21"/>
                <w:szCs w:val="21"/>
                <w:lang w:eastAsia="zh-CN"/>
              </w:rPr>
            </w:pPr>
            <w:r>
              <w:rPr>
                <w:rFonts w:hint="eastAsia" w:cs="Times New Roman"/>
                <w:kern w:val="0"/>
                <w:sz w:val="21"/>
                <w:szCs w:val="21"/>
                <w:lang w:eastAsia="zh-CN"/>
              </w:rPr>
              <w:t>神山村</w:t>
            </w:r>
          </w:p>
        </w:tc>
        <w:tc>
          <w:tcPr>
            <w:tcW w:w="1025" w:type="pct"/>
            <w:tcBorders>
              <w:top w:val="single" w:color="auto" w:sz="4" w:space="0"/>
              <w:left w:val="single" w:color="auto" w:sz="4" w:space="0"/>
              <w:bottom w:val="single" w:color="auto" w:sz="4" w:space="0"/>
              <w:right w:val="single" w:color="auto" w:sz="4" w:space="0"/>
            </w:tcBorders>
            <w:shd w:val="clear" w:color="auto" w:fill="auto"/>
            <w:noWrap/>
          </w:tcPr>
          <w:p>
            <w:pPr>
              <w:widowControl/>
              <w:spacing w:line="240" w:lineRule="auto"/>
              <w:ind w:firstLine="0" w:firstLineChars="0"/>
              <w:jc w:val="center"/>
              <w:rPr>
                <w:rFonts w:cs="Times New Roman"/>
                <w:kern w:val="0"/>
                <w:sz w:val="21"/>
                <w:szCs w:val="21"/>
              </w:rPr>
            </w:pPr>
            <w:r>
              <w:rPr>
                <w:rFonts w:cs="Times New Roman"/>
                <w:kern w:val="0"/>
                <w:sz w:val="21"/>
                <w:szCs w:val="21"/>
              </w:rPr>
              <w:t>分散</w:t>
            </w:r>
            <w:r>
              <w:rPr>
                <w:rFonts w:hint="eastAsia" w:cs="Times New Roman"/>
                <w:kern w:val="0"/>
                <w:sz w:val="21"/>
                <w:szCs w:val="21"/>
              </w:rPr>
              <w:t>治理</w:t>
            </w:r>
          </w:p>
        </w:tc>
      </w:tr>
      <w:bookmarkEnd w:id="41"/>
    </w:tbl>
    <w:p>
      <w:pPr>
        <w:pStyle w:val="7"/>
        <w:rPr>
          <w:rFonts w:ascii="Times New Roman" w:hAnsi="Times New Roman" w:cs="Times New Roman"/>
        </w:rPr>
      </w:pPr>
      <w:bookmarkStart w:id="42" w:name="_Toc43848816"/>
      <w:r>
        <w:rPr>
          <w:rFonts w:ascii="Times New Roman" w:hAnsi="Times New Roman" w:cs="Times New Roman"/>
        </w:rPr>
        <w:t>5.2 出水排放要求</w:t>
      </w:r>
      <w:bookmarkEnd w:id="42"/>
    </w:p>
    <w:p>
      <w:pPr>
        <w:ind w:firstLine="480"/>
        <w:rPr>
          <w:rFonts w:cs="Times New Roman"/>
        </w:rPr>
      </w:pPr>
      <w:r>
        <w:rPr>
          <w:rFonts w:cs="Times New Roman"/>
        </w:rPr>
        <w:t>除纳入城镇污水管网外，农村生活污水处理设施的出水一般有两种排放去向，一是排入地表水体，二是进行污水资源化利用。结合村庄、河流分布以及村庄周边环境，合理确定出水排放去向及排放要求。</w:t>
      </w:r>
    </w:p>
    <w:p>
      <w:pPr>
        <w:pStyle w:val="8"/>
        <w:rPr>
          <w:rFonts w:ascii="Times New Roman" w:hAnsi="Times New Roman" w:cs="Times New Roman"/>
        </w:rPr>
      </w:pPr>
      <w:r>
        <w:rPr>
          <w:rFonts w:ascii="Times New Roman" w:hAnsi="Times New Roman" w:cs="Times New Roman"/>
        </w:rPr>
        <w:t>5.2.1 资源化利用</w:t>
      </w:r>
    </w:p>
    <w:p>
      <w:pPr>
        <w:ind w:firstLine="480"/>
        <w:rPr>
          <w:rFonts w:cs="Times New Roman"/>
        </w:rPr>
      </w:pPr>
      <w:r>
        <w:rPr>
          <w:rFonts w:cs="Times New Roman"/>
        </w:rPr>
        <w:t>鼓励优先选择氮磷资源化与尾水利用技术、手段或途径，一般村庄周边分布有广阔的农田和绿化景观，将生活污水用于农业灌溉，一方面可以解决或缓解农村地区水资源不足的问题；另一方面生活污水中N、P营养元素浓度高，直接排入水体将污染水环境，而N、P是作物不可缺少的营养元素，通过生活污水的农田回用不仅能够减少污水对水环境的污染负荷，而且能够有效减少化肥的投入，对于面源污染的防控和农业的可持续发展有重要意义，同时又可减少污水处理过程中因N、P去除而产生的投资和设备运行费用。</w:t>
      </w:r>
    </w:p>
    <w:p>
      <w:pPr>
        <w:ind w:firstLine="480"/>
        <w:rPr>
          <w:rFonts w:cs="Times New Roman"/>
        </w:rPr>
      </w:pPr>
      <w:r>
        <w:rPr>
          <w:rFonts w:cs="Times New Roman"/>
        </w:rPr>
        <w:t>尾水利用应满足国家或地方相应的标准或要求，处理后的出水用于农田灌溉，水质应符合《农田灌溉水质标准》（GB 5084-2005）旱作灌溉要求。当出水回用于园林绿化时，可参考执行《城市污水再生利用城市杂用水水质》（GB/T 18920-2002）城市绿化水质要求。与排入河流相比，农业灌溉和园林绿化回用水质要求较低，农业灌溉要求低于园林绿化（表5-5）。</w:t>
      </w:r>
    </w:p>
    <w:p>
      <w:pPr>
        <w:pStyle w:val="16"/>
        <w:wordWrap w:val="0"/>
        <w:ind w:firstLine="0" w:firstLineChars="0"/>
        <w:jc w:val="right"/>
        <w:rPr>
          <w:rFonts w:eastAsia="黑体" w:cs="Times New Roman"/>
          <w:b w:val="0"/>
          <w:bCs/>
        </w:rPr>
      </w:pPr>
      <w:r>
        <w:rPr>
          <w:rFonts w:eastAsia="黑体" w:cs="Times New Roman"/>
          <w:b w:val="0"/>
          <w:bCs/>
        </w:rPr>
        <w:t>表 5-5   不同去向出水水质限值    单位：mg/L（凡注明者除外）</w:t>
      </w:r>
    </w:p>
    <w:tbl>
      <w:tblPr>
        <w:tblStyle w:val="2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120"/>
        <w:gridCol w:w="4162"/>
        <w:gridCol w:w="1890"/>
        <w:gridCol w:w="188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blHeader/>
        </w:trPr>
        <w:tc>
          <w:tcPr>
            <w:tcW w:w="618" w:type="pct"/>
            <w:shd w:val="clear" w:color="auto" w:fill="auto"/>
            <w:vAlign w:val="center"/>
          </w:tcPr>
          <w:p>
            <w:pPr>
              <w:adjustRightInd w:val="0"/>
              <w:snapToGrid w:val="0"/>
              <w:spacing w:line="240" w:lineRule="auto"/>
              <w:ind w:firstLine="0" w:firstLineChars="0"/>
              <w:jc w:val="center"/>
              <w:rPr>
                <w:rFonts w:eastAsia="黑体" w:cs="Times New Roman"/>
                <w:bCs/>
                <w:sz w:val="21"/>
                <w:szCs w:val="18"/>
              </w:rPr>
            </w:pPr>
            <w:r>
              <w:rPr>
                <w:rFonts w:eastAsia="黑体" w:cs="Times New Roman"/>
                <w:bCs/>
                <w:sz w:val="21"/>
                <w:szCs w:val="18"/>
              </w:rPr>
              <w:t>序号</w:t>
            </w:r>
          </w:p>
        </w:tc>
        <w:tc>
          <w:tcPr>
            <w:tcW w:w="2297" w:type="pct"/>
            <w:shd w:val="clear" w:color="auto" w:fill="auto"/>
            <w:vAlign w:val="center"/>
          </w:tcPr>
          <w:p>
            <w:pPr>
              <w:adjustRightInd w:val="0"/>
              <w:snapToGrid w:val="0"/>
              <w:spacing w:line="240" w:lineRule="auto"/>
              <w:ind w:firstLine="0" w:firstLineChars="0"/>
              <w:jc w:val="center"/>
              <w:rPr>
                <w:rFonts w:eastAsia="黑体" w:cs="Times New Roman"/>
                <w:bCs/>
                <w:sz w:val="21"/>
                <w:szCs w:val="18"/>
              </w:rPr>
            </w:pPr>
            <w:r>
              <w:rPr>
                <w:rFonts w:eastAsia="黑体" w:cs="Times New Roman"/>
                <w:bCs/>
                <w:sz w:val="21"/>
                <w:szCs w:val="18"/>
              </w:rPr>
              <w:t>控制项目</w:t>
            </w:r>
          </w:p>
        </w:tc>
        <w:tc>
          <w:tcPr>
            <w:tcW w:w="1043" w:type="pct"/>
          </w:tcPr>
          <w:p>
            <w:pPr>
              <w:adjustRightInd w:val="0"/>
              <w:snapToGrid w:val="0"/>
              <w:spacing w:line="240" w:lineRule="auto"/>
              <w:ind w:firstLine="0" w:firstLineChars="0"/>
              <w:jc w:val="center"/>
              <w:rPr>
                <w:rFonts w:eastAsia="黑体" w:cs="Times New Roman"/>
                <w:bCs/>
                <w:sz w:val="21"/>
                <w:szCs w:val="18"/>
              </w:rPr>
            </w:pPr>
            <w:r>
              <w:rPr>
                <w:rFonts w:eastAsia="黑体" w:cs="Times New Roman"/>
                <w:bCs/>
                <w:sz w:val="21"/>
                <w:szCs w:val="18"/>
              </w:rPr>
              <w:t>农业灌溉</w:t>
            </w:r>
          </w:p>
        </w:tc>
        <w:tc>
          <w:tcPr>
            <w:tcW w:w="1042" w:type="pct"/>
          </w:tcPr>
          <w:p>
            <w:pPr>
              <w:adjustRightInd w:val="0"/>
              <w:snapToGrid w:val="0"/>
              <w:spacing w:line="240" w:lineRule="auto"/>
              <w:ind w:firstLine="0" w:firstLineChars="0"/>
              <w:jc w:val="center"/>
              <w:rPr>
                <w:rFonts w:eastAsia="黑体" w:cs="Times New Roman"/>
                <w:bCs/>
                <w:sz w:val="21"/>
                <w:szCs w:val="18"/>
              </w:rPr>
            </w:pPr>
            <w:r>
              <w:rPr>
                <w:rFonts w:eastAsia="黑体" w:cs="Times New Roman"/>
                <w:bCs/>
                <w:sz w:val="21"/>
                <w:szCs w:val="18"/>
              </w:rPr>
              <w:t>园林绿化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18" w:type="pct"/>
            <w:shd w:val="clear" w:color="auto" w:fill="auto"/>
            <w:vAlign w:val="center"/>
          </w:tcPr>
          <w:p>
            <w:pPr>
              <w:adjustRightInd w:val="0"/>
              <w:snapToGrid w:val="0"/>
              <w:spacing w:line="240" w:lineRule="auto"/>
              <w:ind w:firstLine="0" w:firstLineChars="0"/>
              <w:jc w:val="center"/>
              <w:rPr>
                <w:rFonts w:cs="Times New Roman"/>
                <w:sz w:val="21"/>
                <w:szCs w:val="18"/>
              </w:rPr>
            </w:pPr>
            <w:r>
              <w:rPr>
                <w:rFonts w:cs="Times New Roman"/>
                <w:sz w:val="21"/>
                <w:szCs w:val="18"/>
              </w:rPr>
              <w:t>1</w:t>
            </w:r>
          </w:p>
        </w:tc>
        <w:tc>
          <w:tcPr>
            <w:tcW w:w="2297" w:type="pct"/>
            <w:shd w:val="clear" w:color="auto" w:fill="auto"/>
            <w:vAlign w:val="center"/>
          </w:tcPr>
          <w:p>
            <w:pPr>
              <w:adjustRightInd w:val="0"/>
              <w:snapToGrid w:val="0"/>
              <w:spacing w:line="240" w:lineRule="auto"/>
              <w:ind w:firstLine="0" w:firstLineChars="0"/>
              <w:jc w:val="center"/>
              <w:rPr>
                <w:rFonts w:cs="Times New Roman"/>
                <w:sz w:val="21"/>
                <w:szCs w:val="18"/>
              </w:rPr>
            </w:pPr>
            <w:r>
              <w:rPr>
                <w:rFonts w:cs="Times New Roman"/>
                <w:sz w:val="21"/>
                <w:szCs w:val="18"/>
              </w:rPr>
              <w:t>pH（无量纲）</w:t>
            </w:r>
          </w:p>
        </w:tc>
        <w:tc>
          <w:tcPr>
            <w:tcW w:w="1043" w:type="pct"/>
          </w:tcPr>
          <w:p>
            <w:pPr>
              <w:adjustRightInd w:val="0"/>
              <w:snapToGrid w:val="0"/>
              <w:spacing w:line="240" w:lineRule="auto"/>
              <w:ind w:firstLine="0" w:firstLineChars="0"/>
              <w:jc w:val="center"/>
              <w:rPr>
                <w:rFonts w:cs="Times New Roman"/>
                <w:sz w:val="21"/>
                <w:szCs w:val="18"/>
              </w:rPr>
            </w:pPr>
            <w:r>
              <w:rPr>
                <w:rFonts w:cs="Times New Roman"/>
                <w:sz w:val="21"/>
                <w:szCs w:val="18"/>
              </w:rPr>
              <w:t>5.5～8.5</w:t>
            </w:r>
          </w:p>
        </w:tc>
        <w:tc>
          <w:tcPr>
            <w:tcW w:w="1042" w:type="pct"/>
          </w:tcPr>
          <w:p>
            <w:pPr>
              <w:adjustRightInd w:val="0"/>
              <w:snapToGrid w:val="0"/>
              <w:spacing w:line="240" w:lineRule="auto"/>
              <w:ind w:firstLine="0" w:firstLineChars="0"/>
              <w:jc w:val="center"/>
              <w:rPr>
                <w:rFonts w:cs="Times New Roman"/>
                <w:sz w:val="21"/>
                <w:szCs w:val="18"/>
              </w:rPr>
            </w:pPr>
            <w:r>
              <w:rPr>
                <w:rFonts w:cs="Times New Roman"/>
                <w:sz w:val="21"/>
                <w:szCs w:val="18"/>
              </w:rPr>
              <w:t>6～9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18" w:type="pct"/>
            <w:shd w:val="clear" w:color="auto" w:fill="auto"/>
            <w:vAlign w:val="center"/>
          </w:tcPr>
          <w:p>
            <w:pPr>
              <w:adjustRightInd w:val="0"/>
              <w:snapToGrid w:val="0"/>
              <w:spacing w:line="240" w:lineRule="auto"/>
              <w:ind w:firstLine="0" w:firstLineChars="0"/>
              <w:jc w:val="center"/>
              <w:rPr>
                <w:rFonts w:cs="Times New Roman"/>
                <w:sz w:val="21"/>
                <w:szCs w:val="18"/>
              </w:rPr>
            </w:pPr>
            <w:r>
              <w:rPr>
                <w:rFonts w:cs="Times New Roman"/>
                <w:sz w:val="21"/>
                <w:szCs w:val="18"/>
              </w:rPr>
              <w:t>2</w:t>
            </w:r>
          </w:p>
        </w:tc>
        <w:tc>
          <w:tcPr>
            <w:tcW w:w="2297" w:type="pct"/>
            <w:shd w:val="clear" w:color="auto" w:fill="auto"/>
            <w:vAlign w:val="center"/>
          </w:tcPr>
          <w:p>
            <w:pPr>
              <w:adjustRightInd w:val="0"/>
              <w:snapToGrid w:val="0"/>
              <w:spacing w:line="240" w:lineRule="auto"/>
              <w:ind w:firstLine="0" w:firstLineChars="0"/>
              <w:jc w:val="center"/>
              <w:rPr>
                <w:rFonts w:cs="Times New Roman"/>
                <w:sz w:val="21"/>
                <w:szCs w:val="18"/>
              </w:rPr>
            </w:pPr>
            <w:r>
              <w:rPr>
                <w:rFonts w:cs="Times New Roman"/>
                <w:sz w:val="21"/>
                <w:szCs w:val="18"/>
              </w:rPr>
              <w:t>化学需氧量（CODcr）</w:t>
            </w:r>
          </w:p>
        </w:tc>
        <w:tc>
          <w:tcPr>
            <w:tcW w:w="1043" w:type="pct"/>
            <w:vAlign w:val="center"/>
          </w:tcPr>
          <w:p>
            <w:pPr>
              <w:adjustRightInd w:val="0"/>
              <w:snapToGrid w:val="0"/>
              <w:spacing w:line="240" w:lineRule="auto"/>
              <w:ind w:firstLine="0" w:firstLineChars="0"/>
              <w:jc w:val="center"/>
              <w:rPr>
                <w:rFonts w:cs="Times New Roman"/>
                <w:sz w:val="21"/>
                <w:szCs w:val="18"/>
              </w:rPr>
            </w:pPr>
            <w:r>
              <w:rPr>
                <w:rFonts w:cs="Times New Roman"/>
                <w:sz w:val="21"/>
                <w:szCs w:val="18"/>
              </w:rPr>
              <w:t>200</w:t>
            </w:r>
          </w:p>
        </w:tc>
        <w:tc>
          <w:tcPr>
            <w:tcW w:w="1042" w:type="pct"/>
            <w:vAlign w:val="center"/>
          </w:tcPr>
          <w:p>
            <w:pPr>
              <w:adjustRightInd w:val="0"/>
              <w:snapToGrid w:val="0"/>
              <w:spacing w:line="240" w:lineRule="auto"/>
              <w:ind w:firstLine="0" w:firstLineChars="0"/>
              <w:jc w:val="center"/>
              <w:rPr>
                <w:rFonts w:cs="Times New Roman"/>
                <w:sz w:val="21"/>
                <w:szCs w:val="18"/>
              </w:rPr>
            </w:pPr>
            <w:r>
              <w:rPr>
                <w:rFonts w:cs="Times New Roman"/>
                <w:sz w:val="21"/>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18" w:type="pct"/>
            <w:shd w:val="clear" w:color="auto" w:fill="auto"/>
            <w:vAlign w:val="center"/>
          </w:tcPr>
          <w:p>
            <w:pPr>
              <w:adjustRightInd w:val="0"/>
              <w:snapToGrid w:val="0"/>
              <w:spacing w:line="240" w:lineRule="auto"/>
              <w:ind w:firstLine="0" w:firstLineChars="0"/>
              <w:jc w:val="center"/>
              <w:rPr>
                <w:rFonts w:cs="Times New Roman"/>
                <w:sz w:val="21"/>
                <w:szCs w:val="18"/>
              </w:rPr>
            </w:pPr>
            <w:r>
              <w:rPr>
                <w:rFonts w:cs="Times New Roman"/>
                <w:sz w:val="21"/>
                <w:szCs w:val="18"/>
              </w:rPr>
              <w:t>3</w:t>
            </w:r>
          </w:p>
        </w:tc>
        <w:tc>
          <w:tcPr>
            <w:tcW w:w="2297" w:type="pct"/>
            <w:shd w:val="clear" w:color="auto" w:fill="auto"/>
            <w:vAlign w:val="center"/>
          </w:tcPr>
          <w:p>
            <w:pPr>
              <w:adjustRightInd w:val="0"/>
              <w:snapToGrid w:val="0"/>
              <w:spacing w:line="240" w:lineRule="auto"/>
              <w:ind w:firstLine="0" w:firstLineChars="0"/>
              <w:jc w:val="center"/>
              <w:rPr>
                <w:rFonts w:cs="Times New Roman"/>
                <w:sz w:val="21"/>
                <w:szCs w:val="18"/>
              </w:rPr>
            </w:pPr>
            <w:r>
              <w:rPr>
                <w:rFonts w:cs="Times New Roman"/>
                <w:sz w:val="21"/>
                <w:szCs w:val="18"/>
              </w:rPr>
              <w:t>生化需氧量（BOD</w:t>
            </w:r>
            <w:r>
              <w:rPr>
                <w:rFonts w:cs="Times New Roman"/>
                <w:sz w:val="21"/>
                <w:szCs w:val="18"/>
                <w:vertAlign w:val="subscript"/>
              </w:rPr>
              <w:t>5</w:t>
            </w:r>
            <w:r>
              <w:rPr>
                <w:rFonts w:cs="Times New Roman"/>
                <w:sz w:val="21"/>
                <w:szCs w:val="18"/>
              </w:rPr>
              <w:t>）</w:t>
            </w:r>
          </w:p>
        </w:tc>
        <w:tc>
          <w:tcPr>
            <w:tcW w:w="1043" w:type="pct"/>
            <w:vAlign w:val="center"/>
          </w:tcPr>
          <w:p>
            <w:pPr>
              <w:adjustRightInd w:val="0"/>
              <w:snapToGrid w:val="0"/>
              <w:spacing w:line="240" w:lineRule="auto"/>
              <w:ind w:firstLine="0" w:firstLineChars="0"/>
              <w:jc w:val="center"/>
              <w:rPr>
                <w:rFonts w:cs="Times New Roman"/>
                <w:sz w:val="21"/>
                <w:szCs w:val="18"/>
              </w:rPr>
            </w:pPr>
            <w:r>
              <w:rPr>
                <w:rFonts w:cs="Times New Roman"/>
                <w:sz w:val="21"/>
                <w:szCs w:val="18"/>
              </w:rPr>
              <w:t>100</w:t>
            </w:r>
          </w:p>
        </w:tc>
        <w:tc>
          <w:tcPr>
            <w:tcW w:w="1042" w:type="pct"/>
            <w:vAlign w:val="center"/>
          </w:tcPr>
          <w:p>
            <w:pPr>
              <w:adjustRightInd w:val="0"/>
              <w:snapToGrid w:val="0"/>
              <w:spacing w:line="240" w:lineRule="auto"/>
              <w:ind w:firstLine="0" w:firstLineChars="0"/>
              <w:jc w:val="center"/>
              <w:rPr>
                <w:rFonts w:cs="Times New Roman"/>
                <w:sz w:val="21"/>
                <w:szCs w:val="18"/>
              </w:rPr>
            </w:pPr>
            <w:r>
              <w:rPr>
                <w:rFonts w:cs="Times New Roman"/>
                <w:sz w:val="21"/>
                <w:szCs w:val="18"/>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18" w:type="pct"/>
            <w:shd w:val="clear" w:color="auto" w:fill="auto"/>
            <w:vAlign w:val="center"/>
          </w:tcPr>
          <w:p>
            <w:pPr>
              <w:adjustRightInd w:val="0"/>
              <w:snapToGrid w:val="0"/>
              <w:spacing w:line="240" w:lineRule="auto"/>
              <w:ind w:firstLine="0" w:firstLineChars="0"/>
              <w:jc w:val="center"/>
              <w:rPr>
                <w:rFonts w:cs="Times New Roman"/>
                <w:sz w:val="21"/>
                <w:szCs w:val="18"/>
              </w:rPr>
            </w:pPr>
            <w:r>
              <w:rPr>
                <w:rFonts w:cs="Times New Roman"/>
                <w:sz w:val="21"/>
                <w:szCs w:val="18"/>
              </w:rPr>
              <w:t>4</w:t>
            </w:r>
          </w:p>
        </w:tc>
        <w:tc>
          <w:tcPr>
            <w:tcW w:w="2297" w:type="pct"/>
            <w:shd w:val="clear" w:color="auto" w:fill="auto"/>
            <w:vAlign w:val="center"/>
          </w:tcPr>
          <w:p>
            <w:pPr>
              <w:adjustRightInd w:val="0"/>
              <w:snapToGrid w:val="0"/>
              <w:spacing w:line="240" w:lineRule="auto"/>
              <w:ind w:firstLine="0" w:firstLineChars="0"/>
              <w:jc w:val="center"/>
              <w:rPr>
                <w:rFonts w:cs="Times New Roman"/>
                <w:sz w:val="21"/>
                <w:szCs w:val="18"/>
              </w:rPr>
            </w:pPr>
            <w:r>
              <w:rPr>
                <w:rFonts w:cs="Times New Roman"/>
                <w:sz w:val="21"/>
                <w:szCs w:val="18"/>
              </w:rPr>
              <w:t>氨氮</w:t>
            </w:r>
          </w:p>
        </w:tc>
        <w:tc>
          <w:tcPr>
            <w:tcW w:w="1043" w:type="pct"/>
            <w:vAlign w:val="center"/>
          </w:tcPr>
          <w:p>
            <w:pPr>
              <w:adjustRightInd w:val="0"/>
              <w:snapToGrid w:val="0"/>
              <w:spacing w:line="240" w:lineRule="auto"/>
              <w:ind w:firstLine="0" w:firstLineChars="0"/>
              <w:jc w:val="center"/>
              <w:rPr>
                <w:rFonts w:cs="Times New Roman"/>
                <w:sz w:val="21"/>
                <w:szCs w:val="18"/>
              </w:rPr>
            </w:pPr>
            <w:r>
              <w:rPr>
                <w:rFonts w:cs="Times New Roman"/>
                <w:sz w:val="21"/>
                <w:szCs w:val="18"/>
              </w:rPr>
              <w:t>--</w:t>
            </w:r>
          </w:p>
        </w:tc>
        <w:tc>
          <w:tcPr>
            <w:tcW w:w="1042" w:type="pct"/>
            <w:vAlign w:val="center"/>
          </w:tcPr>
          <w:p>
            <w:pPr>
              <w:adjustRightInd w:val="0"/>
              <w:snapToGrid w:val="0"/>
              <w:spacing w:line="240" w:lineRule="auto"/>
              <w:ind w:firstLine="0" w:firstLineChars="0"/>
              <w:jc w:val="center"/>
              <w:rPr>
                <w:rFonts w:cs="Times New Roman"/>
                <w:sz w:val="21"/>
                <w:szCs w:val="18"/>
              </w:rPr>
            </w:pPr>
            <w:r>
              <w:rPr>
                <w:rFonts w:cs="Times New Roman"/>
                <w:sz w:val="21"/>
                <w:szCs w:val="18"/>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18" w:type="pct"/>
            <w:shd w:val="clear" w:color="auto" w:fill="auto"/>
            <w:vAlign w:val="center"/>
          </w:tcPr>
          <w:p>
            <w:pPr>
              <w:adjustRightInd w:val="0"/>
              <w:snapToGrid w:val="0"/>
              <w:spacing w:line="240" w:lineRule="auto"/>
              <w:ind w:firstLine="0" w:firstLineChars="0"/>
              <w:jc w:val="center"/>
              <w:rPr>
                <w:rFonts w:cs="Times New Roman"/>
                <w:sz w:val="21"/>
                <w:szCs w:val="18"/>
              </w:rPr>
            </w:pPr>
            <w:r>
              <w:rPr>
                <w:rFonts w:cs="Times New Roman"/>
                <w:sz w:val="21"/>
                <w:szCs w:val="18"/>
              </w:rPr>
              <w:t>5</w:t>
            </w:r>
          </w:p>
        </w:tc>
        <w:tc>
          <w:tcPr>
            <w:tcW w:w="2297" w:type="pct"/>
            <w:shd w:val="clear" w:color="auto" w:fill="auto"/>
            <w:vAlign w:val="center"/>
          </w:tcPr>
          <w:p>
            <w:pPr>
              <w:adjustRightInd w:val="0"/>
              <w:snapToGrid w:val="0"/>
              <w:spacing w:line="240" w:lineRule="auto"/>
              <w:ind w:firstLine="0" w:firstLineChars="0"/>
              <w:jc w:val="center"/>
              <w:rPr>
                <w:rFonts w:cs="Times New Roman"/>
                <w:sz w:val="21"/>
                <w:szCs w:val="18"/>
              </w:rPr>
            </w:pPr>
            <w:r>
              <w:rPr>
                <w:rFonts w:cs="Times New Roman"/>
                <w:sz w:val="21"/>
                <w:szCs w:val="18"/>
              </w:rPr>
              <w:t>悬浮物（SS）</w:t>
            </w:r>
          </w:p>
        </w:tc>
        <w:tc>
          <w:tcPr>
            <w:tcW w:w="1043" w:type="pct"/>
          </w:tcPr>
          <w:p>
            <w:pPr>
              <w:adjustRightInd w:val="0"/>
              <w:snapToGrid w:val="0"/>
              <w:spacing w:line="240" w:lineRule="auto"/>
              <w:ind w:firstLine="0" w:firstLineChars="0"/>
              <w:jc w:val="center"/>
              <w:rPr>
                <w:rFonts w:cs="Times New Roman"/>
                <w:sz w:val="21"/>
                <w:szCs w:val="18"/>
              </w:rPr>
            </w:pPr>
            <w:r>
              <w:rPr>
                <w:rFonts w:cs="Times New Roman"/>
                <w:sz w:val="21"/>
                <w:szCs w:val="18"/>
              </w:rPr>
              <w:t>100</w:t>
            </w:r>
          </w:p>
        </w:tc>
        <w:tc>
          <w:tcPr>
            <w:tcW w:w="1042" w:type="pct"/>
            <w:vAlign w:val="center"/>
          </w:tcPr>
          <w:p>
            <w:pPr>
              <w:adjustRightInd w:val="0"/>
              <w:snapToGrid w:val="0"/>
              <w:spacing w:line="240" w:lineRule="auto"/>
              <w:ind w:firstLine="0" w:firstLineChars="0"/>
              <w:jc w:val="center"/>
              <w:rPr>
                <w:rFonts w:cs="Times New Roman"/>
                <w:sz w:val="21"/>
                <w:szCs w:val="18"/>
              </w:rPr>
            </w:pPr>
            <w:r>
              <w:rPr>
                <w:rFonts w:cs="Times New Roman"/>
                <w:sz w:val="21"/>
                <w:szCs w:val="18"/>
              </w:rPr>
              <w:t>--</w:t>
            </w:r>
          </w:p>
        </w:tc>
      </w:tr>
    </w:tbl>
    <w:p>
      <w:pPr>
        <w:ind w:firstLine="480"/>
        <w:rPr>
          <w:rFonts w:cs="Times New Roman"/>
        </w:rPr>
      </w:pPr>
      <w:r>
        <w:rPr>
          <w:rFonts w:cs="Times New Roman"/>
        </w:rPr>
        <w:t>因采取分散污水处理的村庄一般人口较少，处理水量较少，相应的设施规模小，若出水直接排入河流，需提高出水水质要求，增加设施建设成本，故分散处理出水一般适用于资源化利用，处理后的出水可直接浇洒农田或庭院植物。</w:t>
      </w:r>
    </w:p>
    <w:p>
      <w:pPr>
        <w:pStyle w:val="8"/>
        <w:rPr>
          <w:rFonts w:ascii="Times New Roman" w:hAnsi="Times New Roman" w:cs="Times New Roman"/>
        </w:rPr>
      </w:pPr>
      <w:r>
        <w:rPr>
          <w:rFonts w:ascii="Times New Roman" w:hAnsi="Times New Roman" w:cs="Times New Roman"/>
        </w:rPr>
        <w:t>5.2.2 排入地表水体</w:t>
      </w:r>
    </w:p>
    <w:p>
      <w:pPr>
        <w:ind w:firstLine="480"/>
        <w:rPr>
          <w:rFonts w:cs="Times New Roman"/>
        </w:rPr>
      </w:pPr>
      <w:r>
        <w:rPr>
          <w:rFonts w:cs="Times New Roman"/>
        </w:rPr>
        <w:t>无法进行污水资源化利用、需设置排放口时，出水宜利用村庄周边沟渠、水塘、土地等途径进一步净化后排入受纳水体，出水水质满足《农村生活污水处理设施水污染物排放标准》（DB 14/726-2019）。同时，还需满足水源保护区、生态敏感区、风景名胜区、农田灌溉区等环境要求。</w:t>
      </w:r>
    </w:p>
    <w:p>
      <w:pPr>
        <w:ind w:firstLine="488" w:firstLineChars="0"/>
        <w:rPr>
          <w:rFonts w:cs="Times New Roman"/>
        </w:rPr>
      </w:pPr>
      <w:r>
        <w:rPr>
          <w:rFonts w:cs="Times New Roman"/>
        </w:rPr>
        <w:t>对靠近河流且出水排入周边农田较为困难的村庄，以及人口较为集中，保证有一定污水量的村庄，规划其设施出水排入河流。根据《农村生活污水处理设施水污染物排放标准》（DB 14/726-2019），出水排入GB 3838地表水II、III类功能水域（划定的饮用水水源保护区除外），或排入湖泊、水库等封闭或半封闭水域时，执行一级标准；出水排入GB 3838地表水IV、V类功能水域，当设施规模大于100m</w:t>
      </w:r>
      <w:r>
        <w:rPr>
          <w:rFonts w:cs="Times New Roman"/>
          <w:vertAlign w:val="superscript"/>
        </w:rPr>
        <w:t>3</w:t>
      </w:r>
      <w:r>
        <w:rPr>
          <w:rFonts w:cs="Times New Roman"/>
        </w:rPr>
        <w:t>/d（不含）时，执行一级标准，当设施规模小于100m</w:t>
      </w:r>
      <w:r>
        <w:rPr>
          <w:rFonts w:cs="Times New Roman"/>
          <w:vertAlign w:val="superscript"/>
        </w:rPr>
        <w:t>3</w:t>
      </w:r>
      <w:r>
        <w:rPr>
          <w:rFonts w:cs="Times New Roman"/>
        </w:rPr>
        <w:t>/d（含）时，执行二级标准；出水排入环境功能未明确水体时，执行三级标准。各标准的排放限值如表5-6，其中pH、悬浮物、化学需氧量、氨氮4项指标为基本控制项目，基本控制项目必须执行，总氮、总磷、动植物油3项指标为选择控制项目。当进水中含有农村餐饮行业排水时，应增加动植物油作为控制指标；当出水排入湖库或氮磷不达标水体时，应增加总氮、总磷作为控制指标。依据《山西省地表水环境功能区划》（DB 14/67-2019），处理设施出水排入的河流，其水环境功能为III类，对未明确的水环境功能区划的河流段，应按照汇入的上一级河流段区划的水质要求保护。</w:t>
      </w:r>
    </w:p>
    <w:p>
      <w:pPr>
        <w:ind w:firstLine="476" w:firstLineChars="0"/>
        <w:rPr>
          <w:rFonts w:cs="Times New Roman"/>
        </w:rPr>
      </w:pPr>
      <w:r>
        <w:rPr>
          <w:rFonts w:cs="Times New Roman"/>
        </w:rPr>
        <w:t>根据《保德县县域建制镇生活污水处理设施建设专项规划（2020—2025）》，结合农村生活污水处理设施出水去向，集中治理的</w:t>
      </w:r>
      <w:r>
        <w:rPr>
          <w:rFonts w:hint="eastAsia" w:cs="Times New Roman"/>
          <w:lang w:val="en-US" w:eastAsia="zh-CN"/>
        </w:rPr>
        <w:t>1</w:t>
      </w:r>
      <w:r>
        <w:rPr>
          <w:rFonts w:cs="Times New Roman"/>
        </w:rPr>
        <w:t>个村庄的污水处理设施出水执行DB 14/726-2019二级，控制项目包括pH、悬浮物、化学需氧量、氨氮、总磷、COD（表5-7）。</w:t>
      </w:r>
    </w:p>
    <w:p>
      <w:pPr>
        <w:pStyle w:val="16"/>
        <w:ind w:firstLine="420"/>
        <w:jc w:val="right"/>
        <w:rPr>
          <w:rFonts w:cs="Times New Roman"/>
        </w:rPr>
      </w:pPr>
      <w:r>
        <w:rPr>
          <w:rFonts w:eastAsia="黑体" w:cs="Times New Roman"/>
          <w:b w:val="0"/>
          <w:bCs/>
        </w:rPr>
        <w:t>表5-6  基本控制项目最高允许排放浓度       单位：mg/L（凡注明者除外）</w:t>
      </w:r>
    </w:p>
    <w:tbl>
      <w:tblPr>
        <w:tblStyle w:val="2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90"/>
        <w:gridCol w:w="2475"/>
        <w:gridCol w:w="2475"/>
        <w:gridCol w:w="1140"/>
        <w:gridCol w:w="1140"/>
        <w:gridCol w:w="11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81" w:type="pct"/>
            <w:shd w:val="clear" w:color="auto" w:fill="auto"/>
            <w:vAlign w:val="center"/>
          </w:tcPr>
          <w:p>
            <w:pPr>
              <w:adjustRightInd w:val="0"/>
              <w:snapToGrid w:val="0"/>
              <w:spacing w:line="240" w:lineRule="auto"/>
              <w:ind w:firstLine="0" w:firstLineChars="0"/>
              <w:jc w:val="center"/>
              <w:rPr>
                <w:rFonts w:eastAsia="黑体" w:cs="Times New Roman"/>
                <w:sz w:val="21"/>
                <w:szCs w:val="21"/>
              </w:rPr>
            </w:pPr>
            <w:r>
              <w:rPr>
                <w:rFonts w:eastAsia="黑体" w:cs="Times New Roman"/>
                <w:sz w:val="21"/>
                <w:szCs w:val="21"/>
              </w:rPr>
              <w:t>序号</w:t>
            </w:r>
          </w:p>
        </w:tc>
        <w:tc>
          <w:tcPr>
            <w:tcW w:w="1366" w:type="pct"/>
            <w:vAlign w:val="center"/>
          </w:tcPr>
          <w:p>
            <w:pPr>
              <w:adjustRightInd w:val="0"/>
              <w:snapToGrid w:val="0"/>
              <w:spacing w:line="240" w:lineRule="auto"/>
              <w:ind w:firstLine="0" w:firstLineChars="0"/>
              <w:jc w:val="center"/>
              <w:rPr>
                <w:rFonts w:eastAsia="黑体" w:cs="Times New Roman"/>
                <w:sz w:val="21"/>
                <w:szCs w:val="21"/>
              </w:rPr>
            </w:pPr>
            <w:r>
              <w:rPr>
                <w:rFonts w:eastAsia="黑体" w:cs="Times New Roman"/>
                <w:sz w:val="21"/>
                <w:szCs w:val="21"/>
              </w:rPr>
              <w:t>控制项目类别</w:t>
            </w:r>
          </w:p>
        </w:tc>
        <w:tc>
          <w:tcPr>
            <w:tcW w:w="1366" w:type="pct"/>
            <w:shd w:val="clear" w:color="auto" w:fill="auto"/>
            <w:vAlign w:val="center"/>
          </w:tcPr>
          <w:p>
            <w:pPr>
              <w:adjustRightInd w:val="0"/>
              <w:snapToGrid w:val="0"/>
              <w:spacing w:line="240" w:lineRule="auto"/>
              <w:ind w:firstLine="0" w:firstLineChars="0"/>
              <w:jc w:val="center"/>
              <w:rPr>
                <w:rFonts w:eastAsia="黑体" w:cs="Times New Roman"/>
                <w:sz w:val="21"/>
                <w:szCs w:val="21"/>
              </w:rPr>
            </w:pPr>
            <w:r>
              <w:rPr>
                <w:rFonts w:eastAsia="黑体" w:cs="Times New Roman"/>
                <w:sz w:val="21"/>
                <w:szCs w:val="21"/>
              </w:rPr>
              <w:t>控制项目</w:t>
            </w:r>
          </w:p>
        </w:tc>
        <w:tc>
          <w:tcPr>
            <w:tcW w:w="629" w:type="pct"/>
            <w:vAlign w:val="center"/>
          </w:tcPr>
          <w:p>
            <w:pPr>
              <w:adjustRightInd w:val="0"/>
              <w:snapToGrid w:val="0"/>
              <w:spacing w:line="240" w:lineRule="auto"/>
              <w:ind w:firstLine="0" w:firstLineChars="0"/>
              <w:jc w:val="center"/>
              <w:rPr>
                <w:rFonts w:eastAsia="黑体" w:cs="Times New Roman"/>
                <w:sz w:val="21"/>
                <w:szCs w:val="21"/>
              </w:rPr>
            </w:pPr>
            <w:r>
              <w:rPr>
                <w:rFonts w:eastAsia="黑体" w:cs="Times New Roman"/>
                <w:sz w:val="21"/>
                <w:szCs w:val="21"/>
              </w:rPr>
              <w:t>一级标准</w:t>
            </w:r>
          </w:p>
        </w:tc>
        <w:tc>
          <w:tcPr>
            <w:tcW w:w="629" w:type="pct"/>
            <w:shd w:val="clear" w:color="auto" w:fill="auto"/>
            <w:vAlign w:val="center"/>
          </w:tcPr>
          <w:p>
            <w:pPr>
              <w:adjustRightInd w:val="0"/>
              <w:snapToGrid w:val="0"/>
              <w:spacing w:line="240" w:lineRule="auto"/>
              <w:ind w:firstLine="0" w:firstLineChars="0"/>
              <w:jc w:val="center"/>
              <w:rPr>
                <w:rFonts w:eastAsia="黑体" w:cs="Times New Roman"/>
                <w:sz w:val="21"/>
                <w:szCs w:val="21"/>
              </w:rPr>
            </w:pPr>
            <w:r>
              <w:rPr>
                <w:rFonts w:eastAsia="黑体" w:cs="Times New Roman"/>
                <w:sz w:val="21"/>
                <w:szCs w:val="21"/>
              </w:rPr>
              <w:t>二级标准</w:t>
            </w:r>
          </w:p>
        </w:tc>
        <w:tc>
          <w:tcPr>
            <w:tcW w:w="629" w:type="pct"/>
            <w:vAlign w:val="center"/>
          </w:tcPr>
          <w:p>
            <w:pPr>
              <w:adjustRightInd w:val="0"/>
              <w:snapToGrid w:val="0"/>
              <w:spacing w:line="240" w:lineRule="auto"/>
              <w:ind w:firstLine="0" w:firstLineChars="0"/>
              <w:jc w:val="center"/>
              <w:rPr>
                <w:rFonts w:eastAsia="黑体" w:cs="Times New Roman"/>
                <w:sz w:val="21"/>
                <w:szCs w:val="21"/>
              </w:rPr>
            </w:pPr>
            <w:r>
              <w:rPr>
                <w:rFonts w:eastAsia="黑体" w:cs="Times New Roman"/>
                <w:sz w:val="21"/>
                <w:szCs w:val="21"/>
              </w:rPr>
              <w:t>三级标准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81" w:type="pct"/>
            <w:shd w:val="clear" w:color="auto" w:fill="auto"/>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w:t>
            </w:r>
          </w:p>
        </w:tc>
        <w:tc>
          <w:tcPr>
            <w:tcW w:w="1366" w:type="pct"/>
            <w:vMerge w:val="restar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基本控制项目</w:t>
            </w:r>
          </w:p>
        </w:tc>
        <w:tc>
          <w:tcPr>
            <w:tcW w:w="1366" w:type="pct"/>
            <w:shd w:val="clear" w:color="auto" w:fill="auto"/>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pH（无量纲）</w:t>
            </w:r>
          </w:p>
        </w:tc>
        <w:tc>
          <w:tcPr>
            <w:tcW w:w="1887" w:type="pct"/>
            <w:gridSpan w:val="3"/>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6～9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81" w:type="pct"/>
            <w:shd w:val="clear" w:color="auto" w:fill="auto"/>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w:t>
            </w:r>
          </w:p>
        </w:tc>
        <w:tc>
          <w:tcPr>
            <w:tcW w:w="1366" w:type="pct"/>
            <w:vMerge w:val="continue"/>
            <w:vAlign w:val="center"/>
          </w:tcPr>
          <w:p>
            <w:pPr>
              <w:adjustRightInd w:val="0"/>
              <w:snapToGrid w:val="0"/>
              <w:spacing w:line="240" w:lineRule="auto"/>
              <w:ind w:firstLine="0" w:firstLineChars="0"/>
              <w:jc w:val="center"/>
              <w:rPr>
                <w:rFonts w:cs="Times New Roman"/>
                <w:sz w:val="21"/>
                <w:szCs w:val="21"/>
              </w:rPr>
            </w:pPr>
          </w:p>
        </w:tc>
        <w:tc>
          <w:tcPr>
            <w:tcW w:w="1366" w:type="pct"/>
            <w:shd w:val="clear" w:color="auto" w:fill="auto"/>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化学需氧量（CODcr）</w:t>
            </w:r>
          </w:p>
        </w:tc>
        <w:tc>
          <w:tcPr>
            <w:tcW w:w="629"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50</w:t>
            </w:r>
          </w:p>
        </w:tc>
        <w:tc>
          <w:tcPr>
            <w:tcW w:w="629" w:type="pct"/>
            <w:shd w:val="clear" w:color="auto" w:fill="auto"/>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60</w:t>
            </w:r>
          </w:p>
        </w:tc>
        <w:tc>
          <w:tcPr>
            <w:tcW w:w="629"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81" w:type="pct"/>
            <w:shd w:val="clear" w:color="auto" w:fill="auto"/>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3</w:t>
            </w:r>
          </w:p>
        </w:tc>
        <w:tc>
          <w:tcPr>
            <w:tcW w:w="1366" w:type="pct"/>
            <w:vMerge w:val="continue"/>
            <w:vAlign w:val="center"/>
          </w:tcPr>
          <w:p>
            <w:pPr>
              <w:adjustRightInd w:val="0"/>
              <w:snapToGrid w:val="0"/>
              <w:spacing w:line="240" w:lineRule="auto"/>
              <w:ind w:firstLine="0" w:firstLineChars="0"/>
              <w:jc w:val="center"/>
              <w:rPr>
                <w:rFonts w:cs="Times New Roman"/>
                <w:sz w:val="21"/>
                <w:szCs w:val="21"/>
              </w:rPr>
            </w:pPr>
          </w:p>
        </w:tc>
        <w:tc>
          <w:tcPr>
            <w:tcW w:w="1366" w:type="pct"/>
            <w:shd w:val="clear" w:color="auto" w:fill="auto"/>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悬浮物（SS）</w:t>
            </w:r>
          </w:p>
        </w:tc>
        <w:tc>
          <w:tcPr>
            <w:tcW w:w="629"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20</w:t>
            </w:r>
          </w:p>
        </w:tc>
        <w:tc>
          <w:tcPr>
            <w:tcW w:w="629" w:type="pct"/>
            <w:shd w:val="clear" w:color="auto" w:fill="auto"/>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30</w:t>
            </w:r>
          </w:p>
        </w:tc>
        <w:tc>
          <w:tcPr>
            <w:tcW w:w="629"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81" w:type="pct"/>
            <w:shd w:val="clear" w:color="auto" w:fill="auto"/>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4</w:t>
            </w:r>
          </w:p>
        </w:tc>
        <w:tc>
          <w:tcPr>
            <w:tcW w:w="1366" w:type="pct"/>
            <w:vMerge w:val="continue"/>
            <w:vAlign w:val="center"/>
          </w:tcPr>
          <w:p>
            <w:pPr>
              <w:adjustRightInd w:val="0"/>
              <w:snapToGrid w:val="0"/>
              <w:spacing w:line="240" w:lineRule="auto"/>
              <w:ind w:firstLine="0" w:firstLineChars="0"/>
              <w:jc w:val="center"/>
              <w:rPr>
                <w:rFonts w:cs="Times New Roman"/>
                <w:sz w:val="21"/>
                <w:szCs w:val="21"/>
              </w:rPr>
            </w:pPr>
          </w:p>
        </w:tc>
        <w:tc>
          <w:tcPr>
            <w:tcW w:w="1366" w:type="pct"/>
            <w:shd w:val="clear" w:color="auto" w:fill="auto"/>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氨氮（以N计）</w:t>
            </w:r>
            <w:r>
              <w:rPr>
                <w:rFonts w:cs="Times New Roman"/>
                <w:sz w:val="21"/>
                <w:szCs w:val="21"/>
                <w:vertAlign w:val="superscript"/>
              </w:rPr>
              <w:t>a</w:t>
            </w:r>
          </w:p>
        </w:tc>
        <w:tc>
          <w:tcPr>
            <w:tcW w:w="629"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5（8）</w:t>
            </w:r>
          </w:p>
        </w:tc>
        <w:tc>
          <w:tcPr>
            <w:tcW w:w="629" w:type="pct"/>
            <w:shd w:val="clear" w:color="auto" w:fill="auto"/>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8（15）</w:t>
            </w:r>
          </w:p>
        </w:tc>
        <w:tc>
          <w:tcPr>
            <w:tcW w:w="629"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15（20）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81" w:type="pct"/>
            <w:shd w:val="clear" w:color="auto" w:fill="auto"/>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5</w:t>
            </w:r>
          </w:p>
        </w:tc>
        <w:tc>
          <w:tcPr>
            <w:tcW w:w="1366" w:type="pct"/>
            <w:vMerge w:val="restar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选择控制项目</w:t>
            </w:r>
          </w:p>
        </w:tc>
        <w:tc>
          <w:tcPr>
            <w:tcW w:w="1366" w:type="pct"/>
            <w:shd w:val="clear" w:color="auto" w:fill="auto"/>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总氮（以N计）</w:t>
            </w:r>
          </w:p>
        </w:tc>
        <w:tc>
          <w:tcPr>
            <w:tcW w:w="629"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20</w:t>
            </w:r>
          </w:p>
        </w:tc>
        <w:tc>
          <w:tcPr>
            <w:tcW w:w="629" w:type="pct"/>
            <w:shd w:val="clear" w:color="auto" w:fill="auto"/>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30</w:t>
            </w:r>
          </w:p>
        </w:tc>
        <w:tc>
          <w:tcPr>
            <w:tcW w:w="629"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81" w:type="pct"/>
            <w:shd w:val="clear" w:color="auto" w:fill="auto"/>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6</w:t>
            </w:r>
          </w:p>
        </w:tc>
        <w:tc>
          <w:tcPr>
            <w:tcW w:w="1366" w:type="pct"/>
            <w:vMerge w:val="continue"/>
            <w:vAlign w:val="center"/>
          </w:tcPr>
          <w:p>
            <w:pPr>
              <w:adjustRightInd w:val="0"/>
              <w:snapToGrid w:val="0"/>
              <w:spacing w:line="240" w:lineRule="auto"/>
              <w:ind w:firstLine="0" w:firstLineChars="0"/>
              <w:jc w:val="center"/>
              <w:rPr>
                <w:rFonts w:cs="Times New Roman"/>
                <w:sz w:val="21"/>
                <w:szCs w:val="21"/>
              </w:rPr>
            </w:pPr>
          </w:p>
        </w:tc>
        <w:tc>
          <w:tcPr>
            <w:tcW w:w="1366" w:type="pct"/>
            <w:shd w:val="clear" w:color="auto" w:fill="auto"/>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总磷（以P计）</w:t>
            </w:r>
          </w:p>
        </w:tc>
        <w:tc>
          <w:tcPr>
            <w:tcW w:w="629"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1.5</w:t>
            </w:r>
          </w:p>
        </w:tc>
        <w:tc>
          <w:tcPr>
            <w:tcW w:w="629" w:type="pct"/>
            <w:shd w:val="clear" w:color="auto" w:fill="auto"/>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3</w:t>
            </w:r>
          </w:p>
        </w:tc>
        <w:tc>
          <w:tcPr>
            <w:tcW w:w="629"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81" w:type="pct"/>
            <w:shd w:val="clear" w:color="auto" w:fill="auto"/>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7</w:t>
            </w:r>
          </w:p>
        </w:tc>
        <w:tc>
          <w:tcPr>
            <w:tcW w:w="1366" w:type="pct"/>
            <w:vMerge w:val="continue"/>
            <w:vAlign w:val="center"/>
          </w:tcPr>
          <w:p>
            <w:pPr>
              <w:adjustRightInd w:val="0"/>
              <w:snapToGrid w:val="0"/>
              <w:spacing w:line="240" w:lineRule="auto"/>
              <w:ind w:firstLine="0" w:firstLineChars="0"/>
              <w:jc w:val="center"/>
              <w:rPr>
                <w:rFonts w:cs="Times New Roman"/>
                <w:sz w:val="21"/>
                <w:szCs w:val="21"/>
              </w:rPr>
            </w:pPr>
          </w:p>
        </w:tc>
        <w:tc>
          <w:tcPr>
            <w:tcW w:w="1366" w:type="pct"/>
            <w:shd w:val="clear" w:color="auto" w:fill="auto"/>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动植物油</w:t>
            </w:r>
          </w:p>
        </w:tc>
        <w:tc>
          <w:tcPr>
            <w:tcW w:w="629"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3</w:t>
            </w:r>
          </w:p>
        </w:tc>
        <w:tc>
          <w:tcPr>
            <w:tcW w:w="629" w:type="pct"/>
            <w:shd w:val="clear" w:color="auto" w:fill="auto"/>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5</w:t>
            </w:r>
          </w:p>
        </w:tc>
        <w:tc>
          <w:tcPr>
            <w:tcW w:w="629" w:type="pc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000" w:type="pct"/>
            <w:gridSpan w:val="6"/>
            <w:vAlign w:val="center"/>
          </w:tcPr>
          <w:p>
            <w:pPr>
              <w:pStyle w:val="101"/>
              <w:numPr>
                <w:ilvl w:val="0"/>
                <w:numId w:val="6"/>
              </w:numPr>
              <w:ind w:left="0" w:firstLine="420" w:firstLineChars="200"/>
              <w:jc w:val="center"/>
              <w:rPr>
                <w:rFonts w:ascii="Times New Roman"/>
                <w:sz w:val="21"/>
                <w:szCs w:val="21"/>
              </w:rPr>
            </w:pPr>
            <w:r>
              <w:rPr>
                <w:rFonts w:ascii="Times New Roman"/>
                <w:sz w:val="21"/>
                <w:szCs w:val="21"/>
              </w:rPr>
              <w:t>a括号外数值为水温＞12℃时的控制指标，括号内数值为水温≤12℃时的控制指标。</w:t>
            </w:r>
          </w:p>
        </w:tc>
      </w:tr>
    </w:tbl>
    <w:p>
      <w:pPr>
        <w:ind w:firstLine="488" w:firstLineChars="0"/>
        <w:rPr>
          <w:rFonts w:cs="Times New Roman"/>
        </w:rPr>
        <w:sectPr>
          <w:pgSz w:w="11906" w:h="16838"/>
          <w:pgMar w:top="1361" w:right="1531" w:bottom="1361" w:left="1531" w:header="851" w:footer="992" w:gutter="0"/>
          <w:cols w:space="425" w:num="1"/>
          <w:docGrid w:type="lines" w:linePitch="326" w:charSpace="0"/>
        </w:sectPr>
      </w:pPr>
    </w:p>
    <w:p>
      <w:pPr>
        <w:pStyle w:val="16"/>
        <w:ind w:firstLine="0" w:firstLineChars="0"/>
        <w:rPr>
          <w:rFonts w:eastAsia="黑体" w:cs="Times New Roman"/>
          <w:b w:val="0"/>
          <w:bCs/>
        </w:rPr>
      </w:pPr>
      <w:r>
        <w:rPr>
          <w:rFonts w:eastAsia="黑体" w:cs="Times New Roman"/>
          <w:b w:val="0"/>
          <w:bCs/>
        </w:rPr>
        <w:t>表5-7  集中治理出水排入河流村庄</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1056"/>
        <w:gridCol w:w="1056"/>
        <w:gridCol w:w="1075"/>
        <w:gridCol w:w="1134"/>
        <w:gridCol w:w="1842"/>
        <w:gridCol w:w="1275"/>
        <w:gridCol w:w="1701"/>
        <w:gridCol w:w="2340"/>
        <w:gridCol w:w="23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blHeader/>
          <w:jc w:val="center"/>
        </w:trPr>
        <w:tc>
          <w:tcPr>
            <w:tcW w:w="636" w:type="dxa"/>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序号</w:t>
            </w:r>
          </w:p>
        </w:tc>
        <w:tc>
          <w:tcPr>
            <w:tcW w:w="1056" w:type="dxa"/>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乡镇</w:t>
            </w:r>
          </w:p>
        </w:tc>
        <w:tc>
          <w:tcPr>
            <w:tcW w:w="1056" w:type="dxa"/>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1075" w:type="dxa"/>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治理模式</w:t>
            </w:r>
          </w:p>
        </w:tc>
        <w:tc>
          <w:tcPr>
            <w:tcW w:w="1134" w:type="dxa"/>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污水排放量（m</w:t>
            </w:r>
            <w:r>
              <w:rPr>
                <w:rFonts w:eastAsia="黑体" w:cs="Times New Roman"/>
                <w:kern w:val="0"/>
                <w:sz w:val="21"/>
                <w:szCs w:val="21"/>
                <w:vertAlign w:val="superscript"/>
              </w:rPr>
              <w:t>3</w:t>
            </w:r>
            <w:r>
              <w:rPr>
                <w:rFonts w:eastAsia="黑体" w:cs="Times New Roman"/>
                <w:kern w:val="0"/>
                <w:sz w:val="21"/>
                <w:szCs w:val="21"/>
              </w:rPr>
              <w:t>/d）</w:t>
            </w:r>
          </w:p>
        </w:tc>
        <w:tc>
          <w:tcPr>
            <w:tcW w:w="1842" w:type="dxa"/>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设计规模（m</w:t>
            </w:r>
            <w:r>
              <w:rPr>
                <w:rFonts w:eastAsia="黑体" w:cs="Times New Roman"/>
                <w:kern w:val="0"/>
                <w:sz w:val="21"/>
                <w:szCs w:val="21"/>
                <w:vertAlign w:val="superscript"/>
              </w:rPr>
              <w:t>3</w:t>
            </w:r>
            <w:r>
              <w:rPr>
                <w:rFonts w:eastAsia="黑体" w:cs="Times New Roman"/>
                <w:kern w:val="0"/>
                <w:sz w:val="21"/>
                <w:szCs w:val="21"/>
              </w:rPr>
              <w:t>/d）</w:t>
            </w:r>
          </w:p>
        </w:tc>
        <w:tc>
          <w:tcPr>
            <w:tcW w:w="1275" w:type="dxa"/>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出水去向</w:t>
            </w:r>
          </w:p>
        </w:tc>
        <w:tc>
          <w:tcPr>
            <w:tcW w:w="1701" w:type="dxa"/>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地表水环境功能</w:t>
            </w:r>
          </w:p>
        </w:tc>
        <w:tc>
          <w:tcPr>
            <w:tcW w:w="2340" w:type="dxa"/>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出水排放要求</w:t>
            </w:r>
          </w:p>
        </w:tc>
        <w:tc>
          <w:tcPr>
            <w:tcW w:w="2374" w:type="dxa"/>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控制项目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636" w:type="dxa"/>
            <w:shd w:val="clear" w:color="auto" w:fill="auto"/>
            <w:noWrap/>
            <w:vAlign w:val="center"/>
          </w:tcPr>
          <w:p>
            <w:pPr>
              <w:widowControl/>
              <w:spacing w:line="240" w:lineRule="auto"/>
              <w:ind w:firstLine="0" w:firstLineChars="0"/>
              <w:jc w:val="center"/>
              <w:rPr>
                <w:rFonts w:hint="eastAsia" w:eastAsia="宋体" w:cs="Times New Roman"/>
                <w:kern w:val="0"/>
                <w:sz w:val="21"/>
                <w:szCs w:val="21"/>
                <w:lang w:eastAsia="zh-CN"/>
              </w:rPr>
            </w:pPr>
            <w:r>
              <w:rPr>
                <w:rFonts w:hint="eastAsia" w:cs="Times New Roman"/>
                <w:kern w:val="0"/>
                <w:sz w:val="21"/>
                <w:szCs w:val="21"/>
                <w:lang w:val="en-US" w:eastAsia="zh-CN"/>
              </w:rPr>
              <w:t>1</w:t>
            </w:r>
          </w:p>
        </w:tc>
        <w:tc>
          <w:tcPr>
            <w:tcW w:w="1056" w:type="dxa"/>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杨家湾镇</w:t>
            </w:r>
          </w:p>
        </w:tc>
        <w:tc>
          <w:tcPr>
            <w:tcW w:w="1056" w:type="dxa"/>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花园村</w:t>
            </w:r>
          </w:p>
        </w:tc>
        <w:tc>
          <w:tcPr>
            <w:tcW w:w="1075" w:type="dxa"/>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集中</w:t>
            </w:r>
            <w:r>
              <w:rPr>
                <w:rFonts w:hint="eastAsia" w:cs="Times New Roman"/>
                <w:kern w:val="0"/>
                <w:sz w:val="21"/>
                <w:szCs w:val="21"/>
              </w:rPr>
              <w:t>治理</w:t>
            </w:r>
          </w:p>
        </w:tc>
        <w:tc>
          <w:tcPr>
            <w:tcW w:w="1134" w:type="dxa"/>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4.0</w:t>
            </w:r>
          </w:p>
        </w:tc>
        <w:tc>
          <w:tcPr>
            <w:tcW w:w="1842" w:type="dxa"/>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100</w:t>
            </w:r>
          </w:p>
        </w:tc>
        <w:tc>
          <w:tcPr>
            <w:tcW w:w="1275" w:type="dxa"/>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黄河</w:t>
            </w:r>
          </w:p>
        </w:tc>
        <w:tc>
          <w:tcPr>
            <w:tcW w:w="1701" w:type="dxa"/>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IV</w:t>
            </w:r>
          </w:p>
        </w:tc>
        <w:tc>
          <w:tcPr>
            <w:tcW w:w="2340" w:type="dxa"/>
            <w:vAlign w:val="center"/>
          </w:tcPr>
          <w:p>
            <w:pPr>
              <w:widowControl/>
              <w:spacing w:line="240" w:lineRule="auto"/>
              <w:ind w:firstLine="0" w:firstLineChars="0"/>
              <w:jc w:val="center"/>
              <w:rPr>
                <w:rFonts w:cs="Times New Roman"/>
                <w:kern w:val="0"/>
                <w:sz w:val="21"/>
                <w:szCs w:val="21"/>
              </w:rPr>
            </w:pPr>
            <w:r>
              <w:rPr>
                <w:rFonts w:cs="Times New Roman"/>
                <w:sz w:val="21"/>
                <w:szCs w:val="21"/>
              </w:rPr>
              <w:t>DB 14/726-2019二级</w:t>
            </w:r>
          </w:p>
        </w:tc>
        <w:tc>
          <w:tcPr>
            <w:tcW w:w="2374" w:type="dxa"/>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pH、悬浮物、化学需氧量、氨氮、总磷、COD</w:t>
            </w:r>
          </w:p>
        </w:tc>
      </w:tr>
    </w:tbl>
    <w:p>
      <w:pPr>
        <w:ind w:firstLine="0" w:firstLineChars="0"/>
        <w:rPr>
          <w:rFonts w:cs="Times New Roman"/>
        </w:rPr>
      </w:pPr>
    </w:p>
    <w:p>
      <w:pPr>
        <w:ind w:firstLine="0" w:firstLineChars="0"/>
        <w:rPr>
          <w:rFonts w:cs="Times New Roman"/>
        </w:rPr>
      </w:pPr>
    </w:p>
    <w:p>
      <w:pPr>
        <w:ind w:firstLine="0" w:firstLineChars="0"/>
        <w:rPr>
          <w:rFonts w:cs="Times New Roman"/>
        </w:rPr>
        <w:sectPr>
          <w:pgSz w:w="16838" w:h="11906" w:orient="landscape"/>
          <w:pgMar w:top="851" w:right="1134" w:bottom="851" w:left="1134" w:header="851" w:footer="992" w:gutter="0"/>
          <w:cols w:space="425" w:num="1"/>
          <w:docGrid w:type="lines" w:linePitch="326" w:charSpace="0"/>
        </w:sectPr>
      </w:pPr>
    </w:p>
    <w:p>
      <w:pPr>
        <w:pStyle w:val="7"/>
        <w:rPr>
          <w:rFonts w:ascii="Times New Roman" w:hAnsi="Times New Roman" w:cs="Times New Roman"/>
        </w:rPr>
      </w:pPr>
      <w:bookmarkStart w:id="43" w:name="_Toc43848817"/>
      <w:r>
        <w:rPr>
          <w:rFonts w:ascii="Times New Roman" w:hAnsi="Times New Roman" w:cs="Times New Roman"/>
        </w:rPr>
        <w:t>5.3 收集系统建设</w:t>
      </w:r>
      <w:bookmarkEnd w:id="43"/>
    </w:p>
    <w:p>
      <w:pPr>
        <w:pStyle w:val="8"/>
        <w:rPr>
          <w:rFonts w:ascii="Times New Roman" w:hAnsi="Times New Roman" w:cs="Times New Roman"/>
        </w:rPr>
      </w:pPr>
      <w:r>
        <w:rPr>
          <w:rFonts w:ascii="Times New Roman" w:hAnsi="Times New Roman" w:cs="Times New Roman"/>
        </w:rPr>
        <w:t>5.3.1 排水体制</w:t>
      </w:r>
    </w:p>
    <w:p>
      <w:pPr>
        <w:ind w:firstLine="480"/>
        <w:rPr>
          <w:rFonts w:cs="Times New Roman"/>
        </w:rPr>
      </w:pPr>
      <w:r>
        <w:rPr>
          <w:rFonts w:cs="Times New Roman"/>
        </w:rPr>
        <w:t>农村排水体制可分为分流制和合流制两种。根据保德县经济发展水平、排水系统现状等因素综合考虑确定农村排水体制。</w:t>
      </w:r>
    </w:p>
    <w:p>
      <w:pPr>
        <w:ind w:firstLine="480"/>
        <w:rPr>
          <w:rFonts w:cs="Times New Roman"/>
        </w:rPr>
      </w:pPr>
      <w:r>
        <w:rPr>
          <w:rFonts w:cs="Times New Roman"/>
        </w:rPr>
        <w:t>（1）在生活污水合流制管渠末端设置截流设施，初期雨水和生活污水通过截流管道进行污水处理后排放，超出截流能力的雨水或少量混合污水通过溢流管道直接排放。考虑到保德县降雨量普遍较小，产生溢流的情况较少，因此可以采用截留式合流制，以减少投资和运维难度。截留式合流制排水体制见图5-3。</w:t>
      </w:r>
    </w:p>
    <w:p>
      <w:pPr>
        <w:pStyle w:val="64"/>
        <w:rPr>
          <w:rFonts w:cs="Times New Roman"/>
        </w:rPr>
      </w:pPr>
      <w:r>
        <w:rPr>
          <w:rFonts w:cs="Times New Roman"/>
        </w:rPr>
        <w:drawing>
          <wp:inline distT="0" distB="0" distL="0" distR="0">
            <wp:extent cx="5422900" cy="1041400"/>
            <wp:effectExtent l="0" t="0" r="6350" b="6350"/>
            <wp:docPr id="62" name="图片 6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5422900" cy="1041400"/>
                    </a:xfrm>
                    <a:prstGeom prst="rect">
                      <a:avLst/>
                    </a:prstGeom>
                    <a:noFill/>
                    <a:ln>
                      <a:noFill/>
                    </a:ln>
                  </pic:spPr>
                </pic:pic>
              </a:graphicData>
            </a:graphic>
          </wp:inline>
        </w:drawing>
      </w:r>
    </w:p>
    <w:p>
      <w:pPr>
        <w:ind w:firstLine="0" w:firstLineChars="0"/>
        <w:jc w:val="center"/>
        <w:rPr>
          <w:rFonts w:eastAsia="黑体" w:cs="Times New Roman"/>
          <w:sz w:val="21"/>
        </w:rPr>
      </w:pPr>
      <w:r>
        <w:rPr>
          <w:rFonts w:eastAsia="黑体" w:cs="Times New Roman"/>
          <w:sz w:val="21"/>
        </w:rPr>
        <w:t>图5-3  截留式合流制排水体制示意图</w:t>
      </w:r>
    </w:p>
    <w:p>
      <w:pPr>
        <w:ind w:firstLine="480"/>
        <w:rPr>
          <w:rFonts w:cs="Times New Roman"/>
        </w:rPr>
      </w:pPr>
      <w:r>
        <w:rPr>
          <w:rFonts w:cs="Times New Roman"/>
        </w:rPr>
        <w:t>（2）对于基础条件较好的农村，可采用雨水和生活污水分流制，用不同管道分别收集和输送各种农村生活污水和雨水，通过管道或暗渠收集生活污水进行集中处理后排放，雨水应充分利用地面径流和明渠排至就近的河流或池塘。分流制排水体制见图5-4。</w:t>
      </w:r>
    </w:p>
    <w:p>
      <w:pPr>
        <w:pStyle w:val="64"/>
        <w:ind w:firstLine="360"/>
        <w:rPr>
          <w:rFonts w:cs="Times New Roman"/>
        </w:rPr>
      </w:pPr>
      <w:r>
        <w:rPr>
          <w:rFonts w:cs="Times New Roman"/>
        </w:rPr>
        <w:drawing>
          <wp:inline distT="0" distB="0" distL="0" distR="0">
            <wp:extent cx="4325620" cy="1009650"/>
            <wp:effectExtent l="0" t="0" r="0" b="0"/>
            <wp:docPr id="61" name="图片 61"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1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4325620" cy="1009650"/>
                    </a:xfrm>
                    <a:prstGeom prst="rect">
                      <a:avLst/>
                    </a:prstGeom>
                    <a:noFill/>
                    <a:ln>
                      <a:noFill/>
                    </a:ln>
                  </pic:spPr>
                </pic:pic>
              </a:graphicData>
            </a:graphic>
          </wp:inline>
        </w:drawing>
      </w:r>
    </w:p>
    <w:p>
      <w:pPr>
        <w:ind w:firstLine="0" w:firstLineChars="0"/>
        <w:jc w:val="center"/>
        <w:rPr>
          <w:rFonts w:eastAsia="黑体" w:cs="Times New Roman"/>
          <w:sz w:val="21"/>
        </w:rPr>
      </w:pPr>
      <w:r>
        <w:rPr>
          <w:rFonts w:eastAsia="黑体" w:cs="Times New Roman"/>
          <w:sz w:val="21"/>
        </w:rPr>
        <w:t>图5-4 分流制排水体制示意图</w:t>
      </w:r>
    </w:p>
    <w:p>
      <w:pPr>
        <w:pStyle w:val="8"/>
        <w:rPr>
          <w:rFonts w:ascii="Times New Roman" w:hAnsi="Times New Roman" w:cs="Times New Roman"/>
        </w:rPr>
      </w:pPr>
      <w:r>
        <w:rPr>
          <w:rFonts w:ascii="Times New Roman" w:hAnsi="Times New Roman" w:cs="Times New Roman"/>
        </w:rPr>
        <w:t>5.3.2 管网铺设方式</w:t>
      </w:r>
    </w:p>
    <w:p>
      <w:pPr>
        <w:ind w:firstLine="480"/>
        <w:rPr>
          <w:rFonts w:cs="Times New Roman"/>
        </w:rPr>
      </w:pPr>
      <w:r>
        <w:rPr>
          <w:rFonts w:cs="Times New Roman"/>
        </w:rPr>
        <w:t>基于保德县自然环境条件、农村环境特征以及污水处理模式，污水收集可分为以下形式。</w:t>
      </w:r>
    </w:p>
    <w:p>
      <w:pPr>
        <w:numPr>
          <w:ilvl w:val="0"/>
          <w:numId w:val="7"/>
        </w:numPr>
        <w:ind w:firstLine="480"/>
        <w:rPr>
          <w:rFonts w:cs="Times New Roman"/>
        </w:rPr>
      </w:pPr>
      <w:r>
        <w:rPr>
          <w:rFonts w:cs="Times New Roman"/>
        </w:rPr>
        <w:t>污水分散处理的村庄，其污水适宜单独收集，主要收集厨房、洗涤和洗浴污水。所需处理的污水主要为低浓度的灰水，厕所一般以旱厕为主，厕所粪便一般堆肥农用，同时需定期清理粪污，避免粪污下渗和直排。</w:t>
      </w:r>
    </w:p>
    <w:p>
      <w:pPr>
        <w:ind w:firstLine="0" w:firstLineChars="0"/>
        <w:rPr>
          <w:rFonts w:cs="Times New Roman"/>
        </w:rPr>
      </w:pPr>
    </w:p>
    <w:p>
      <w:pPr>
        <w:spacing w:line="240" w:lineRule="auto"/>
        <w:ind w:firstLine="0" w:firstLineChars="0"/>
        <w:jc w:val="center"/>
        <w:rPr>
          <w:rFonts w:eastAsia="黑体" w:cs="Times New Roman"/>
          <w:sz w:val="21"/>
        </w:rPr>
      </w:pPr>
      <w:r>
        <w:drawing>
          <wp:inline distT="0" distB="0" distL="0" distR="0">
            <wp:extent cx="5759450" cy="260921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75" cstate="print">
                      <a:extLst>
                        <a:ext uri="{28A0092B-C50C-407E-A947-70E740481C1C}">
                          <a14:useLocalDpi xmlns:a14="http://schemas.microsoft.com/office/drawing/2010/main" val="0"/>
                        </a:ext>
                      </a:extLst>
                    </a:blip>
                    <a:srcRect l="4910" r="31786" b="7497"/>
                    <a:stretch>
                      <a:fillRect/>
                    </a:stretch>
                  </pic:blipFill>
                  <pic:spPr>
                    <a:xfrm>
                      <a:off x="0" y="0"/>
                      <a:ext cx="5760000" cy="2609689"/>
                    </a:xfrm>
                    <a:prstGeom prst="rect">
                      <a:avLst/>
                    </a:prstGeom>
                    <a:noFill/>
                    <a:ln>
                      <a:noFill/>
                    </a:ln>
                  </pic:spPr>
                </pic:pic>
              </a:graphicData>
            </a:graphic>
          </wp:inline>
        </w:drawing>
      </w:r>
    </w:p>
    <w:p>
      <w:pPr>
        <w:ind w:firstLine="0" w:firstLineChars="0"/>
        <w:jc w:val="center"/>
        <w:rPr>
          <w:rFonts w:eastAsia="黑体" w:cs="Times New Roman"/>
          <w:sz w:val="21"/>
        </w:rPr>
      </w:pPr>
      <w:r>
        <w:rPr>
          <w:rFonts w:eastAsia="黑体" w:cs="Times New Roman"/>
          <w:sz w:val="21"/>
        </w:rPr>
        <w:t>图5-5  户厕建在室外的农户院落典型排水系统示意图</w:t>
      </w:r>
    </w:p>
    <w:p>
      <w:pPr>
        <w:ind w:firstLine="480"/>
        <w:rPr>
          <w:rFonts w:cs="Times New Roman"/>
        </w:rPr>
      </w:pPr>
      <w:r>
        <w:rPr>
          <w:rFonts w:cs="Times New Roman"/>
        </w:rPr>
        <w:t>（2）污水集中处理的村庄，其污水适宜集中收集，将全村或多个村庄污水进行集中收集后统一处理。农户污水经接户管进入支管再汇入干管，排至污水处理设施。污水管网应根据村落的格局、地形地貌等因素合理布设，根据村镇庭院的空间分布情况和地势坡度条件，将各户的污水用管道成片收集，处理设施宜就地布置在村民聚居点或村落的附近。</w:t>
      </w:r>
    </w:p>
    <w:p>
      <w:pPr>
        <w:ind w:firstLine="480"/>
        <w:rPr>
          <w:rFonts w:cs="Times New Roman"/>
        </w:rPr>
      </w:pPr>
      <w:r>
        <w:rPr>
          <w:rFonts w:cs="Times New Roman"/>
        </w:rPr>
        <w:t>（3）根据厕所是否为水冲厕，污水的收集应注意对化粪池污水的收集。</w:t>
      </w:r>
    </w:p>
    <w:p>
      <w:pPr>
        <w:ind w:firstLine="480"/>
        <w:rPr>
          <w:rFonts w:cs="Times New Roman"/>
        </w:rPr>
      </w:pPr>
      <w:r>
        <w:rPr>
          <w:rFonts w:cs="Times New Roman"/>
        </w:rPr>
        <w:t>①对于采用水冲厕的村落，农村生活污水一般为黑水和灰水混合污水，灰水可直接进入排水管渠，黑水应先排入化粪池，处理后上清液再进入排水管渠，与生活污水混合，流入下游管道。收集系统参见图5-6。</w:t>
      </w:r>
    </w:p>
    <w:p>
      <w:pPr>
        <w:ind w:firstLine="480"/>
        <w:rPr>
          <w:rFonts w:cs="Times New Roman"/>
        </w:rPr>
      </w:pPr>
      <w:r>
        <w:rPr>
          <w:rFonts w:cs="Times New Roman"/>
        </w:rPr>
        <w:t>②其余村庄无水冲厕，生活污水以灰水为主，家庭厨房和洗涤洗浴污水经接户管进入支管再汇入干管，排至村庄污水处理设施。</w:t>
      </w:r>
    </w:p>
    <w:p>
      <w:pPr>
        <w:pStyle w:val="91"/>
        <w:ind w:firstLine="0" w:firstLineChars="0"/>
        <w:rPr>
          <w:rFonts w:ascii="Times New Roman"/>
        </w:rPr>
      </w:pPr>
      <w:r>
        <w:rPr>
          <w:rFonts w:ascii="Times New Roman"/>
        </w:rPr>
        <w:drawing>
          <wp:inline distT="0" distB="0" distL="0" distR="0">
            <wp:extent cx="5894705" cy="2051685"/>
            <wp:effectExtent l="0" t="0" r="0" b="5715"/>
            <wp:docPr id="95" name="图片 95" descr="演示文稿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演示文稿1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5895088" cy="2052000"/>
                    </a:xfrm>
                    <a:prstGeom prst="rect">
                      <a:avLst/>
                    </a:prstGeom>
                    <a:noFill/>
                    <a:ln>
                      <a:noFill/>
                    </a:ln>
                  </pic:spPr>
                </pic:pic>
              </a:graphicData>
            </a:graphic>
          </wp:inline>
        </w:drawing>
      </w:r>
    </w:p>
    <w:p>
      <w:pPr>
        <w:pStyle w:val="16"/>
        <w:ind w:firstLine="0" w:firstLineChars="0"/>
        <w:rPr>
          <w:rFonts w:eastAsia="黑体" w:cs="Times New Roman"/>
          <w:b w:val="0"/>
          <w:bCs/>
        </w:rPr>
      </w:pPr>
      <w:r>
        <w:rPr>
          <w:rFonts w:eastAsia="黑体" w:cs="Times New Roman"/>
          <w:b w:val="0"/>
          <w:bCs/>
        </w:rPr>
        <w:t>图5-6  污水收集系统示意图</w:t>
      </w:r>
    </w:p>
    <w:p>
      <w:pPr>
        <w:pStyle w:val="8"/>
        <w:rPr>
          <w:rFonts w:ascii="Times New Roman" w:hAnsi="Times New Roman" w:cs="Times New Roman"/>
        </w:rPr>
      </w:pPr>
      <w:bookmarkStart w:id="44" w:name="_Toc16091114"/>
      <w:bookmarkStart w:id="45" w:name="_Toc16091171"/>
      <w:r>
        <w:rPr>
          <w:rFonts w:ascii="Times New Roman" w:hAnsi="Times New Roman" w:cs="Times New Roman"/>
        </w:rPr>
        <w:t>5.3.3 收集管网</w:t>
      </w:r>
      <w:bookmarkEnd w:id="44"/>
      <w:bookmarkEnd w:id="45"/>
    </w:p>
    <w:p>
      <w:pPr>
        <w:pStyle w:val="9"/>
      </w:pPr>
      <w:r>
        <w:t>5.3.3.1 基本规定</w:t>
      </w:r>
    </w:p>
    <w:p>
      <w:pPr>
        <w:ind w:firstLine="480"/>
        <w:rPr>
          <w:rFonts w:cs="Times New Roman"/>
        </w:rPr>
      </w:pPr>
      <w:r>
        <w:rPr>
          <w:rFonts w:cs="Times New Roman"/>
        </w:rPr>
        <w:t>收集管网的建设应采取以下原则：</w:t>
      </w:r>
    </w:p>
    <w:p>
      <w:pPr>
        <w:ind w:firstLine="480" w:firstLineChars="0"/>
        <w:rPr>
          <w:rFonts w:cs="Times New Roman"/>
        </w:rPr>
      </w:pPr>
      <w:r>
        <w:rPr>
          <w:rFonts w:cs="Times New Roman"/>
        </w:rPr>
        <w:t>（1）为使污水有效收集，同时也避免冬季污水在外界放置散失热量，宜采用入户收集方式对污水进行收集，且污水口最好设置在室内，以防设置在院子中有雨水混入。</w:t>
      </w:r>
    </w:p>
    <w:p>
      <w:pPr>
        <w:ind w:firstLine="480"/>
        <w:rPr>
          <w:rFonts w:cs="Times New Roman"/>
        </w:rPr>
      </w:pPr>
      <w:r>
        <w:rPr>
          <w:rFonts w:cs="Times New Roman"/>
        </w:rPr>
        <w:t>（2）农村生活污水应尽量采用密闭管道收集，以减少污水和臭味泄露和热量散失，若利用村内地势差和现有沟渠收集村庄污水时，应采取必要的密闭和防渗措施。</w:t>
      </w:r>
    </w:p>
    <w:p>
      <w:pPr>
        <w:ind w:firstLine="480"/>
        <w:rPr>
          <w:rFonts w:cs="Times New Roman"/>
        </w:rPr>
      </w:pPr>
      <w:r>
        <w:rPr>
          <w:rFonts w:cs="Times New Roman"/>
        </w:rPr>
        <w:t>（3）优先采用顺坡就势、沟底铺管（在现有排水沟底铺设污水管道）等建设成本低、施工速度快的管道布设方式。结合村庄规划、地形标高、排水流向，按照接管短、埋深合理、尽可能利用重力自流的原则布置污水管道。对不能利用重力自流排水的地区，根据服务范围和处理设施位置确定提升设施的位置。</w:t>
      </w:r>
    </w:p>
    <w:p>
      <w:pPr>
        <w:ind w:firstLine="480"/>
        <w:rPr>
          <w:rFonts w:cs="Times New Roman"/>
        </w:rPr>
      </w:pPr>
      <w:r>
        <w:rPr>
          <w:rFonts w:cs="Times New Roman"/>
        </w:rPr>
        <w:t>（4）农村由于生活习惯，会有大量剩饭或拖地水直接排入下水道，容易造成管道堵塞，应适当增加管径大小，提升坡度，减少污水在管道内的停留时间。</w:t>
      </w:r>
    </w:p>
    <w:p>
      <w:pPr>
        <w:ind w:firstLine="480"/>
        <w:rPr>
          <w:rFonts w:cs="Times New Roman"/>
        </w:rPr>
      </w:pPr>
      <w:r>
        <w:rPr>
          <w:rFonts w:cs="Times New Roman"/>
        </w:rPr>
        <w:t>（5）管道设计可参考《室外排水设计规范》（GB50014）、《建筑给水排水设计规范》（GB50015）。</w:t>
      </w:r>
    </w:p>
    <w:p>
      <w:pPr>
        <w:ind w:firstLine="480"/>
        <w:rPr>
          <w:rFonts w:cs="Times New Roman"/>
        </w:rPr>
      </w:pPr>
      <w:r>
        <w:rPr>
          <w:rFonts w:cs="Times New Roman"/>
        </w:rPr>
        <w:t>（6）管路的选择应结合当地村镇规划，尽量避免与其他工程相冲突。</w:t>
      </w:r>
    </w:p>
    <w:p>
      <w:pPr>
        <w:pStyle w:val="9"/>
      </w:pPr>
      <w:r>
        <w:t>5.3.3.2 管材</w:t>
      </w:r>
    </w:p>
    <w:p>
      <w:pPr>
        <w:ind w:firstLine="480"/>
        <w:rPr>
          <w:rFonts w:cs="Times New Roman"/>
        </w:rPr>
      </w:pPr>
      <w:r>
        <w:rPr>
          <w:rFonts w:cs="Times New Roman"/>
        </w:rPr>
        <w:t>村庄生活污水收集系统由入户收集系统和户外收集系统组成。入户收集系统包含：出户管（排出管）、检查井、化粪池、沉渣格栅井（隔油井）、连接用水设施的排水管道。户外收集系统包含：污水处理设施、污水提升泵站、连接污水处理设施与检查井、化粪池、隔油井等构筑物之间的管道及其构件。</w:t>
      </w:r>
    </w:p>
    <w:p>
      <w:pPr>
        <w:ind w:firstLine="480"/>
        <w:rPr>
          <w:rFonts w:cs="Times New Roman"/>
        </w:rPr>
      </w:pPr>
      <w:r>
        <w:rPr>
          <w:rFonts w:cs="Times New Roman"/>
        </w:rPr>
        <w:t>入户收集管道按重力流管道设计，根据《建筑给水排水设计规范》（GB50015-2003）中规定：建筑内部排水管道应采用建筑排水塑料管及管件或柔性接口机制排水铸铁管及相应管件；室外排水管道应优先采用埋地式排水塑料管。村庄生活污水排水管道管材选取应遵循性能可靠、工程造价合理、便于施工和维护的原则，并充分考虑管道沿线的地质条件。可采用塑料排水管（包括PVC 管、HDPE 管、PE 管等）、球墨铸铁管等。当管径大于等于300mm 时，应优先选用性价比较高的HDPE双壁波纹管。</w:t>
      </w:r>
    </w:p>
    <w:p>
      <w:pPr>
        <w:ind w:firstLine="480"/>
        <w:rPr>
          <w:rFonts w:cs="Times New Roman"/>
        </w:rPr>
      </w:pPr>
      <w:r>
        <w:rPr>
          <w:rFonts w:cs="Times New Roman"/>
        </w:rPr>
        <w:t>目前，常用的排水管材有以下几种：</w:t>
      </w:r>
    </w:p>
    <w:p>
      <w:pPr>
        <w:ind w:firstLine="480"/>
        <w:rPr>
          <w:rFonts w:cs="Times New Roman"/>
        </w:rPr>
      </w:pPr>
      <w:r>
        <w:rPr>
          <w:rFonts w:cs="Times New Roman"/>
        </w:rPr>
        <w:t>（1）混凝土管和钢筋混凝土管（PCP）</w:t>
      </w:r>
    </w:p>
    <w:p>
      <w:pPr>
        <w:ind w:firstLine="480"/>
        <w:rPr>
          <w:rFonts w:cs="Times New Roman"/>
        </w:rPr>
      </w:pPr>
      <w:r>
        <w:rPr>
          <w:rFonts w:cs="Times New Roman"/>
        </w:rPr>
        <w:t>这两种管道，制作方便，造价低，在排水管道中应用很广。但缺点是抗渗性能差、管节短、接口多和搬运不便等。混凝土管内径不大于600mm，长度不大于1m，适用于管径小的无压管；钢筋混凝土管口径一般在500mm以上，长度在1m～3m。多用在埋深大或地质条件不好的地段。其接口形式有承插式、企口式和平口式。</w:t>
      </w:r>
    </w:p>
    <w:p>
      <w:pPr>
        <w:ind w:firstLine="480"/>
        <w:rPr>
          <w:rFonts w:cs="Times New Roman"/>
        </w:rPr>
      </w:pPr>
      <w:r>
        <w:rPr>
          <w:rFonts w:cs="Times New Roman"/>
        </w:rPr>
        <w:t>（2）钢管</w:t>
      </w:r>
    </w:p>
    <w:p>
      <w:pPr>
        <w:ind w:firstLine="480"/>
        <w:rPr>
          <w:rFonts w:cs="Times New Roman"/>
        </w:rPr>
      </w:pPr>
      <w:r>
        <w:rPr>
          <w:rFonts w:cs="Times New Roman"/>
        </w:rPr>
        <w:t>钢管有较好的机械强度，耐高压，耐振动，重量较轻，单管长度大，接口方便，有较强的适应性，但耐腐蚀性差，防腐造价高。钢管一般多用于大口径（1.2m以上）、高压处、因地质、地形条件限制、穿越铁路、河谷和地震区时，一般在污水管道中钢管宜少用。</w:t>
      </w:r>
    </w:p>
    <w:p>
      <w:pPr>
        <w:ind w:firstLine="480"/>
        <w:rPr>
          <w:rFonts w:cs="Times New Roman"/>
        </w:rPr>
      </w:pPr>
      <w:r>
        <w:rPr>
          <w:rFonts w:cs="Times New Roman"/>
        </w:rPr>
        <w:t>（3）玻璃钢夹砂管（FRP）</w:t>
      </w:r>
    </w:p>
    <w:p>
      <w:pPr>
        <w:ind w:firstLine="480"/>
        <w:rPr>
          <w:rFonts w:cs="Times New Roman"/>
        </w:rPr>
      </w:pPr>
      <w:r>
        <w:rPr>
          <w:rFonts w:cs="Times New Roman"/>
        </w:rPr>
        <w:t>玻璃钢夹砂管重量轻，运输安装方便、内阻小、耐腐蚀性强，使用寿命可达50年以上，但价格略高。</w:t>
      </w:r>
    </w:p>
    <w:p>
      <w:pPr>
        <w:ind w:firstLine="480"/>
        <w:rPr>
          <w:rFonts w:cs="Times New Roman"/>
        </w:rPr>
      </w:pPr>
      <w:r>
        <w:rPr>
          <w:rFonts w:cs="Times New Roman"/>
        </w:rPr>
        <w:t>（4）石棉水泥管</w:t>
      </w:r>
    </w:p>
    <w:p>
      <w:pPr>
        <w:ind w:firstLine="480"/>
        <w:rPr>
          <w:rFonts w:cs="Times New Roman"/>
        </w:rPr>
      </w:pPr>
      <w:r>
        <w:rPr>
          <w:rFonts w:cs="Times New Roman"/>
        </w:rPr>
        <w:t>由石棉纤维和水泥制成，具有强度大、抗渗性好、表面光滑、重量轻、长度大、接头少等优点。但石棉水泥管质脆、耐磨性差。管径多为500mm～600mm，长度为2.5m～4.0m。我国产量不大，在排水工程中还未广泛应用。</w:t>
      </w:r>
    </w:p>
    <w:p>
      <w:pPr>
        <w:ind w:firstLine="480"/>
        <w:rPr>
          <w:rFonts w:cs="Times New Roman"/>
        </w:rPr>
      </w:pPr>
      <w:r>
        <w:rPr>
          <w:rFonts w:cs="Times New Roman"/>
        </w:rPr>
        <w:t>（5）大型排水管渠</w:t>
      </w:r>
    </w:p>
    <w:p>
      <w:pPr>
        <w:ind w:firstLine="480"/>
        <w:rPr>
          <w:rFonts w:cs="Times New Roman"/>
        </w:rPr>
      </w:pPr>
      <w:r>
        <w:rPr>
          <w:rFonts w:cs="Times New Roman"/>
        </w:rPr>
        <w:t>排水管道的预制管管径一般小于2m。当排水需要更大的口径时，可建造大型排水渠道，常用建材有砖、石、混凝土块或现浇钢筋混凝土等，一般多釆用矩形、拱形等断面，主要在现场浇制、铺砌或安装。</w:t>
      </w:r>
    </w:p>
    <w:p>
      <w:pPr>
        <w:ind w:firstLine="480"/>
        <w:rPr>
          <w:rFonts w:cs="Times New Roman"/>
        </w:rPr>
      </w:pPr>
      <w:r>
        <w:rPr>
          <w:rFonts w:cs="Times New Roman"/>
        </w:rPr>
        <w:t>（6）塑料管</w:t>
      </w:r>
    </w:p>
    <w:p>
      <w:pPr>
        <w:ind w:firstLine="480"/>
        <w:rPr>
          <w:rFonts w:cs="Times New Roman"/>
        </w:rPr>
      </w:pPr>
      <w:r>
        <w:rPr>
          <w:rFonts w:cs="Times New Roman"/>
        </w:rPr>
        <w:t>塑料管表面光滑，不易结垢，水头损失小，耐腐蚀，重量轻，加工连接方便，但管材强度低，性质脆、抗外压和冲击性差。多用于小口径，如城市住宅内部使用的管道。室外管道的安装，一般不宜埋在城市车行道下。国外塑料管使用广泛，已占24.1%。</w:t>
      </w:r>
    </w:p>
    <w:p>
      <w:pPr>
        <w:ind w:firstLine="480"/>
        <w:rPr>
          <w:rFonts w:cs="Times New Roman"/>
        </w:rPr>
      </w:pPr>
      <w:r>
        <w:rPr>
          <w:rFonts w:cs="Times New Roman"/>
        </w:rPr>
        <w:t>（7）排水铸铁管</w:t>
      </w:r>
    </w:p>
    <w:p>
      <w:pPr>
        <w:ind w:firstLine="480"/>
        <w:rPr>
          <w:rFonts w:cs="Times New Roman"/>
        </w:rPr>
      </w:pPr>
      <w:r>
        <w:rPr>
          <w:rFonts w:cs="Times New Roman"/>
        </w:rPr>
        <w:t>排水铸铁管具有强度高、抗渗性好、内壁光滑、抗压、抗震性强，且管节长，接头少。但价格昂贵，耐酸碱腐蚀性差。</w:t>
      </w:r>
    </w:p>
    <w:p>
      <w:pPr>
        <w:ind w:firstLine="480"/>
        <w:rPr>
          <w:rFonts w:cs="Times New Roman"/>
        </w:rPr>
      </w:pPr>
      <w:r>
        <w:rPr>
          <w:rFonts w:cs="Times New Roman"/>
        </w:rPr>
        <w:t>（8）高密度聚乙烯管（HDPE）</w:t>
      </w:r>
    </w:p>
    <w:p>
      <w:pPr>
        <w:ind w:firstLine="480"/>
        <w:rPr>
          <w:rFonts w:cs="Times New Roman"/>
        </w:rPr>
      </w:pPr>
      <w:r>
        <w:rPr>
          <w:rFonts w:cs="Times New Roman"/>
        </w:rPr>
        <w:t>HDPE管内壁光滑、耐腐蚀性好、柔韧性好、重量轻，对管道基础要求低。</w:t>
      </w:r>
    </w:p>
    <w:p>
      <w:pPr>
        <w:ind w:firstLine="480"/>
        <w:rPr>
          <w:rFonts w:cs="Times New Roman"/>
        </w:rPr>
      </w:pPr>
      <w:r>
        <w:rPr>
          <w:rFonts w:cs="Times New Roman"/>
        </w:rPr>
        <w:t>（9）UPVC管</w:t>
      </w:r>
    </w:p>
    <w:p>
      <w:pPr>
        <w:ind w:firstLine="480"/>
        <w:rPr>
          <w:rFonts w:cs="Times New Roman"/>
        </w:rPr>
      </w:pPr>
      <w:r>
        <w:rPr>
          <w:rFonts w:cs="Times New Roman"/>
        </w:rPr>
        <w:t>UPVC管内壁光滑、耐腐蚀性好、柔韧性好、重量轻。采用橡胶圈承插柔性接口，对管道基础要求低。</w:t>
      </w:r>
      <w:r>
        <w:rPr>
          <w:rFonts w:cs="Times New Roman"/>
        </w:rPr>
        <w:tab/>
      </w:r>
    </w:p>
    <w:p>
      <w:pPr>
        <w:ind w:firstLine="480"/>
        <w:rPr>
          <w:rFonts w:cs="Times New Roman"/>
        </w:rPr>
      </w:pPr>
      <w:r>
        <w:rPr>
          <w:rFonts w:cs="Times New Roman"/>
        </w:rPr>
        <w:t>（10）陶土管</w:t>
      </w:r>
    </w:p>
    <w:p>
      <w:pPr>
        <w:ind w:firstLine="480"/>
        <w:rPr>
          <w:rFonts w:cs="Times New Roman"/>
        </w:rPr>
      </w:pPr>
      <w:r>
        <w:rPr>
          <w:rFonts w:cs="Times New Roman"/>
        </w:rPr>
        <w:t>陶土管由塑性粘土焙烧而成，带釉的陶土管内外壁光滑，水流阻力小，不透水性好，耐磨损，抗腐蚀。但质脆易碎，抗弯抗拉强度低，不宜敷在松土中或埋深较大的地方。另外管节短，施工不便。陶土管直径径不大于600mm，其管长为0.8m～1.0m由于陶土管抗酸腐蚀，在世界各国广泛采用，尤其遗适于排除酸碱废水。</w:t>
      </w:r>
    </w:p>
    <w:p>
      <w:pPr>
        <w:pStyle w:val="16"/>
        <w:ind w:firstLine="0" w:firstLineChars="0"/>
        <w:rPr>
          <w:rFonts w:eastAsia="黑体" w:cs="Times New Roman"/>
          <w:b w:val="0"/>
          <w:bCs/>
        </w:rPr>
      </w:pPr>
      <w:r>
        <w:rPr>
          <w:rFonts w:eastAsia="黑体" w:cs="Times New Roman"/>
          <w:b w:val="0"/>
          <w:bCs/>
        </w:rPr>
        <w:t>表5-8几种常用管材的特性比较</w:t>
      </w:r>
    </w:p>
    <w:tbl>
      <w:tblPr>
        <w:tblStyle w:val="29"/>
        <w:tblW w:w="5000" w:type="pct"/>
        <w:tblInd w:w="0" w:type="dxa"/>
        <w:tblLayout w:type="autofit"/>
        <w:tblCellMar>
          <w:top w:w="0" w:type="dxa"/>
          <w:left w:w="0" w:type="dxa"/>
          <w:bottom w:w="0" w:type="dxa"/>
          <w:right w:w="0" w:type="dxa"/>
        </w:tblCellMar>
      </w:tblPr>
      <w:tblGrid>
        <w:gridCol w:w="1475"/>
        <w:gridCol w:w="1477"/>
        <w:gridCol w:w="1477"/>
        <w:gridCol w:w="1475"/>
        <w:gridCol w:w="1477"/>
        <w:gridCol w:w="1473"/>
      </w:tblGrid>
      <w:tr>
        <w:trPr>
          <w:trHeight w:val="20" w:hRule="atLeast"/>
          <w:tblHeader/>
        </w:trPr>
        <w:tc>
          <w:tcPr>
            <w:tcW w:w="833"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eastAsia="黑体" w:cs="Times New Roman"/>
                <w:kern w:val="0"/>
                <w:sz w:val="21"/>
                <w:szCs w:val="21"/>
              </w:rPr>
            </w:pPr>
            <w:r>
              <w:rPr>
                <w:rFonts w:eastAsia="黑体" w:cs="Times New Roman"/>
                <w:kern w:val="0"/>
                <w:sz w:val="21"/>
                <w:szCs w:val="21"/>
                <w:lang w:val="zh-CN"/>
              </w:rPr>
              <w:t>管材</w:t>
            </w:r>
          </w:p>
        </w:tc>
        <w:tc>
          <w:tcPr>
            <w:tcW w:w="834"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eastAsia="黑体" w:cs="Times New Roman"/>
                <w:kern w:val="0"/>
                <w:sz w:val="21"/>
                <w:szCs w:val="21"/>
              </w:rPr>
            </w:pPr>
            <w:r>
              <w:rPr>
                <w:rFonts w:eastAsia="黑体" w:cs="Times New Roman"/>
                <w:kern w:val="0"/>
                <w:sz w:val="21"/>
                <w:szCs w:val="21"/>
                <w:lang w:eastAsia="en-US"/>
              </w:rPr>
              <w:t>PCP</w:t>
            </w:r>
            <w:r>
              <w:rPr>
                <w:rFonts w:eastAsia="黑体" w:cs="Times New Roman"/>
                <w:kern w:val="0"/>
                <w:sz w:val="21"/>
                <w:szCs w:val="21"/>
                <w:lang w:val="zh-CN"/>
              </w:rPr>
              <w:t>管</w:t>
            </w:r>
          </w:p>
        </w:tc>
        <w:tc>
          <w:tcPr>
            <w:tcW w:w="834"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eastAsia="黑体" w:cs="Times New Roman"/>
                <w:kern w:val="0"/>
                <w:sz w:val="21"/>
                <w:szCs w:val="21"/>
              </w:rPr>
            </w:pPr>
            <w:r>
              <w:rPr>
                <w:rFonts w:eastAsia="黑体" w:cs="Times New Roman"/>
                <w:kern w:val="0"/>
                <w:sz w:val="21"/>
                <w:szCs w:val="21"/>
                <w:lang w:val="zh-CN"/>
              </w:rPr>
              <w:t>钢管</w:t>
            </w:r>
          </w:p>
        </w:tc>
        <w:tc>
          <w:tcPr>
            <w:tcW w:w="833"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eastAsia="黑体" w:cs="Times New Roman"/>
                <w:kern w:val="0"/>
                <w:sz w:val="21"/>
                <w:szCs w:val="21"/>
              </w:rPr>
            </w:pPr>
            <w:r>
              <w:rPr>
                <w:rFonts w:eastAsia="黑体" w:cs="Times New Roman"/>
                <w:kern w:val="0"/>
                <w:sz w:val="21"/>
                <w:szCs w:val="21"/>
                <w:lang w:eastAsia="en-US"/>
              </w:rPr>
              <w:t>UPVC</w:t>
            </w:r>
            <w:r>
              <w:rPr>
                <w:rFonts w:eastAsia="黑体" w:cs="Times New Roman"/>
                <w:kern w:val="0"/>
                <w:sz w:val="21"/>
                <w:szCs w:val="21"/>
                <w:lang w:val="zh-CN"/>
              </w:rPr>
              <w:t>管</w:t>
            </w:r>
          </w:p>
        </w:tc>
        <w:tc>
          <w:tcPr>
            <w:tcW w:w="834"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eastAsia="黑体" w:cs="Times New Roman"/>
                <w:kern w:val="0"/>
                <w:sz w:val="21"/>
                <w:szCs w:val="21"/>
              </w:rPr>
            </w:pPr>
            <w:r>
              <w:rPr>
                <w:rFonts w:eastAsia="黑体" w:cs="Times New Roman"/>
                <w:kern w:val="0"/>
                <w:sz w:val="21"/>
                <w:szCs w:val="21"/>
                <w:lang w:eastAsia="en-US"/>
              </w:rPr>
              <w:t>HDPE</w:t>
            </w:r>
            <w:r>
              <w:rPr>
                <w:rFonts w:eastAsia="黑体" w:cs="Times New Roman"/>
                <w:kern w:val="0"/>
                <w:sz w:val="21"/>
                <w:szCs w:val="21"/>
                <w:lang w:val="zh-CN"/>
              </w:rPr>
              <w:t>管</w:t>
            </w:r>
          </w:p>
        </w:tc>
        <w:tc>
          <w:tcPr>
            <w:tcW w:w="832" w:type="pct"/>
            <w:tcBorders>
              <w:top w:val="single" w:color="auto" w:sz="4" w:space="0"/>
              <w:left w:val="single" w:color="auto" w:sz="4" w:space="0"/>
              <w:bottom w:val="nil"/>
              <w:right w:val="single" w:color="auto" w:sz="4" w:space="0"/>
            </w:tcBorders>
            <w:shd w:val="clear" w:color="auto" w:fill="FFFFFF"/>
            <w:vAlign w:val="center"/>
          </w:tcPr>
          <w:p>
            <w:pPr>
              <w:adjustRightInd w:val="0"/>
              <w:snapToGrid w:val="0"/>
              <w:spacing w:line="240" w:lineRule="auto"/>
              <w:ind w:firstLine="0" w:firstLineChars="0"/>
              <w:jc w:val="center"/>
              <w:rPr>
                <w:rFonts w:eastAsia="黑体" w:cs="Times New Roman"/>
                <w:kern w:val="0"/>
                <w:sz w:val="21"/>
                <w:szCs w:val="21"/>
              </w:rPr>
            </w:pPr>
            <w:r>
              <w:rPr>
                <w:rFonts w:eastAsia="黑体" w:cs="Times New Roman"/>
                <w:kern w:val="0"/>
                <w:sz w:val="21"/>
                <w:szCs w:val="21"/>
                <w:lang w:eastAsia="en-US"/>
              </w:rPr>
              <w:t>RPRM</w:t>
            </w:r>
            <w:r>
              <w:rPr>
                <w:rFonts w:eastAsia="黑体" w:cs="Times New Roman"/>
                <w:kern w:val="0"/>
                <w:sz w:val="21"/>
                <w:szCs w:val="21"/>
                <w:lang w:val="zh-CN"/>
              </w:rPr>
              <w:t>管</w:t>
            </w:r>
          </w:p>
        </w:tc>
      </w:tr>
      <w:tr>
        <w:tblPrEx>
          <w:tblCellMar>
            <w:top w:w="0" w:type="dxa"/>
            <w:left w:w="0" w:type="dxa"/>
            <w:bottom w:w="0" w:type="dxa"/>
            <w:right w:w="0" w:type="dxa"/>
          </w:tblCellMar>
        </w:tblPrEx>
        <w:trPr>
          <w:trHeight w:val="20" w:hRule="atLeast"/>
        </w:trPr>
        <w:tc>
          <w:tcPr>
            <w:tcW w:w="833"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使用寿命</w:t>
            </w:r>
          </w:p>
        </w:tc>
        <w:tc>
          <w:tcPr>
            <w:tcW w:w="834"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较长</w:t>
            </w:r>
          </w:p>
        </w:tc>
        <w:tc>
          <w:tcPr>
            <w:tcW w:w="834"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较</w:t>
            </w:r>
            <w:r>
              <w:rPr>
                <w:rFonts w:cs="Times New Roman"/>
                <w:kern w:val="0"/>
                <w:sz w:val="21"/>
                <w:szCs w:val="21"/>
              </w:rPr>
              <w:t>短</w:t>
            </w:r>
          </w:p>
        </w:tc>
        <w:tc>
          <w:tcPr>
            <w:tcW w:w="833"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rPr>
              <w:t>长</w:t>
            </w:r>
          </w:p>
        </w:tc>
        <w:tc>
          <w:tcPr>
            <w:tcW w:w="834"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长</w:t>
            </w:r>
          </w:p>
        </w:tc>
        <w:tc>
          <w:tcPr>
            <w:tcW w:w="832" w:type="pct"/>
            <w:tcBorders>
              <w:top w:val="single" w:color="auto" w:sz="4" w:space="0"/>
              <w:left w:val="single" w:color="auto" w:sz="4" w:space="0"/>
              <w:bottom w:val="nil"/>
              <w:right w:val="single" w:color="auto" w:sz="4" w:space="0"/>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长</w:t>
            </w:r>
          </w:p>
        </w:tc>
      </w:tr>
      <w:tr>
        <w:trPr>
          <w:trHeight w:val="20" w:hRule="atLeast"/>
        </w:trPr>
        <w:tc>
          <w:tcPr>
            <w:tcW w:w="833"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抗渗性能</w:t>
            </w:r>
          </w:p>
        </w:tc>
        <w:tc>
          <w:tcPr>
            <w:tcW w:w="834"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较弱</w:t>
            </w:r>
          </w:p>
        </w:tc>
        <w:tc>
          <w:tcPr>
            <w:tcW w:w="834"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较强</w:t>
            </w:r>
          </w:p>
        </w:tc>
        <w:tc>
          <w:tcPr>
            <w:tcW w:w="833"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强</w:t>
            </w:r>
          </w:p>
        </w:tc>
        <w:tc>
          <w:tcPr>
            <w:tcW w:w="834"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强</w:t>
            </w:r>
          </w:p>
        </w:tc>
        <w:tc>
          <w:tcPr>
            <w:tcW w:w="832" w:type="pct"/>
            <w:tcBorders>
              <w:top w:val="single" w:color="auto" w:sz="4" w:space="0"/>
              <w:left w:val="single" w:color="auto" w:sz="4" w:space="0"/>
              <w:bottom w:val="nil"/>
              <w:right w:val="single" w:color="auto" w:sz="4" w:space="0"/>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强</w:t>
            </w:r>
          </w:p>
        </w:tc>
      </w:tr>
      <w:tr>
        <w:trPr>
          <w:trHeight w:val="20" w:hRule="atLeast"/>
        </w:trPr>
        <w:tc>
          <w:tcPr>
            <w:tcW w:w="833"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防腐能力</w:t>
            </w:r>
          </w:p>
        </w:tc>
        <w:tc>
          <w:tcPr>
            <w:tcW w:w="834"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较强</w:t>
            </w:r>
          </w:p>
        </w:tc>
        <w:tc>
          <w:tcPr>
            <w:tcW w:w="834"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较弱</w:t>
            </w:r>
          </w:p>
        </w:tc>
        <w:tc>
          <w:tcPr>
            <w:tcW w:w="833"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强</w:t>
            </w:r>
          </w:p>
        </w:tc>
        <w:tc>
          <w:tcPr>
            <w:tcW w:w="834"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强</w:t>
            </w:r>
          </w:p>
        </w:tc>
        <w:tc>
          <w:tcPr>
            <w:tcW w:w="832" w:type="pct"/>
            <w:tcBorders>
              <w:top w:val="single" w:color="auto" w:sz="4" w:space="0"/>
              <w:left w:val="single" w:color="auto" w:sz="4" w:space="0"/>
              <w:bottom w:val="nil"/>
              <w:right w:val="single" w:color="auto" w:sz="4" w:space="0"/>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强</w:t>
            </w:r>
          </w:p>
        </w:tc>
      </w:tr>
      <w:tr>
        <w:trPr>
          <w:trHeight w:val="20" w:hRule="atLeast"/>
        </w:trPr>
        <w:tc>
          <w:tcPr>
            <w:tcW w:w="833"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承受外压</w:t>
            </w:r>
          </w:p>
        </w:tc>
        <w:tc>
          <w:tcPr>
            <w:tcW w:w="834"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深埋能承受较大外压</w:t>
            </w:r>
          </w:p>
        </w:tc>
        <w:tc>
          <w:tcPr>
            <w:tcW w:w="834"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可深埋能承受较大外</w:t>
            </w:r>
          </w:p>
        </w:tc>
        <w:tc>
          <w:tcPr>
            <w:tcW w:w="833"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受外压较差易变形</w:t>
            </w:r>
          </w:p>
        </w:tc>
        <w:tc>
          <w:tcPr>
            <w:tcW w:w="834" w:type="pct"/>
            <w:tcBorders>
              <w:top w:val="single" w:color="auto" w:sz="4" w:space="0"/>
              <w:left w:val="single" w:color="auto" w:sz="4" w:space="0"/>
              <w:bottom w:val="nil"/>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受外压较差易变形</w:t>
            </w:r>
          </w:p>
        </w:tc>
        <w:tc>
          <w:tcPr>
            <w:tcW w:w="832" w:type="pct"/>
            <w:tcBorders>
              <w:top w:val="single" w:color="auto" w:sz="4" w:space="0"/>
              <w:left w:val="single" w:color="auto" w:sz="4" w:space="0"/>
              <w:bottom w:val="nil"/>
              <w:right w:val="single" w:color="auto" w:sz="4" w:space="0"/>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受外压较差</w:t>
            </w:r>
            <w:r>
              <w:rPr>
                <w:rFonts w:cs="Times New Roman"/>
                <w:kern w:val="0"/>
                <w:sz w:val="21"/>
                <w:szCs w:val="21"/>
                <w:lang w:eastAsia="en-US"/>
              </w:rPr>
              <w:t>.</w:t>
            </w:r>
            <w:r>
              <w:rPr>
                <w:rFonts w:cs="Times New Roman"/>
                <w:kern w:val="0"/>
                <w:sz w:val="21"/>
                <w:szCs w:val="21"/>
                <w:lang w:val="zh-CN"/>
              </w:rPr>
              <w:t>易变形</w:t>
            </w:r>
          </w:p>
        </w:tc>
      </w:tr>
      <w:tr>
        <w:trPr>
          <w:trHeight w:val="20" w:hRule="atLeast"/>
        </w:trPr>
        <w:tc>
          <w:tcPr>
            <w:tcW w:w="833"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施工难易</w:t>
            </w:r>
          </w:p>
        </w:tc>
        <w:tc>
          <w:tcPr>
            <w:tcW w:w="834"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较难</w:t>
            </w:r>
          </w:p>
        </w:tc>
        <w:tc>
          <w:tcPr>
            <w:tcW w:w="834"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方便</w:t>
            </w:r>
          </w:p>
        </w:tc>
        <w:tc>
          <w:tcPr>
            <w:tcW w:w="833"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方便</w:t>
            </w:r>
          </w:p>
        </w:tc>
        <w:tc>
          <w:tcPr>
            <w:tcW w:w="834"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rPr>
              <w:t>方便</w:t>
            </w:r>
          </w:p>
        </w:tc>
        <w:tc>
          <w:tcPr>
            <w:tcW w:w="832" w:type="pct"/>
            <w:tcBorders>
              <w:top w:val="single" w:color="auto" w:sz="4" w:space="0"/>
              <w:left w:val="single" w:color="auto" w:sz="4" w:space="0"/>
              <w:bottom w:val="single" w:color="auto" w:sz="4" w:space="0"/>
              <w:right w:val="single" w:color="auto" w:sz="4" w:space="0"/>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lang w:val="zh-CN"/>
              </w:rPr>
              <w:t>方便</w:t>
            </w:r>
          </w:p>
        </w:tc>
      </w:tr>
      <w:tr>
        <w:trPr>
          <w:trHeight w:val="20" w:hRule="atLeast"/>
        </w:trPr>
        <w:tc>
          <w:tcPr>
            <w:tcW w:w="833"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施工方法</w:t>
            </w:r>
          </w:p>
        </w:tc>
        <w:tc>
          <w:tcPr>
            <w:tcW w:w="834"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大开挖顶管</w:t>
            </w:r>
          </w:p>
        </w:tc>
        <w:tc>
          <w:tcPr>
            <w:tcW w:w="834"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大开挖顶管</w:t>
            </w:r>
          </w:p>
        </w:tc>
        <w:tc>
          <w:tcPr>
            <w:tcW w:w="833"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大开挖</w:t>
            </w:r>
          </w:p>
        </w:tc>
        <w:tc>
          <w:tcPr>
            <w:tcW w:w="834"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rPr>
              <w:t>大开挖</w:t>
            </w:r>
          </w:p>
        </w:tc>
        <w:tc>
          <w:tcPr>
            <w:tcW w:w="832" w:type="pct"/>
            <w:tcBorders>
              <w:top w:val="single" w:color="auto" w:sz="4" w:space="0"/>
              <w:left w:val="single" w:color="auto" w:sz="4" w:space="0"/>
              <w:bottom w:val="single" w:color="auto" w:sz="4" w:space="0"/>
              <w:right w:val="single" w:color="auto" w:sz="4" w:space="0"/>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大开挖</w:t>
            </w:r>
          </w:p>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顶管</w:t>
            </w:r>
          </w:p>
        </w:tc>
      </w:tr>
      <w:tr>
        <w:trPr>
          <w:trHeight w:val="20" w:hRule="atLeast"/>
        </w:trPr>
        <w:tc>
          <w:tcPr>
            <w:tcW w:w="833"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接口形式</w:t>
            </w:r>
          </w:p>
        </w:tc>
        <w:tc>
          <w:tcPr>
            <w:tcW w:w="834"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承插式橡胶圈止水</w:t>
            </w:r>
          </w:p>
        </w:tc>
        <w:tc>
          <w:tcPr>
            <w:tcW w:w="834"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现场焊接钢性接口</w:t>
            </w:r>
          </w:p>
        </w:tc>
        <w:tc>
          <w:tcPr>
            <w:tcW w:w="833"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承插式橡胶圈止水</w:t>
            </w:r>
          </w:p>
        </w:tc>
        <w:tc>
          <w:tcPr>
            <w:tcW w:w="834"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rPr>
              <w:t>承插式橡胶圈止水</w:t>
            </w:r>
          </w:p>
        </w:tc>
        <w:tc>
          <w:tcPr>
            <w:tcW w:w="832" w:type="pct"/>
            <w:tcBorders>
              <w:top w:val="single" w:color="auto" w:sz="4" w:space="0"/>
              <w:left w:val="single" w:color="auto" w:sz="4" w:space="0"/>
              <w:bottom w:val="single" w:color="auto" w:sz="4" w:space="0"/>
              <w:right w:val="single" w:color="auto" w:sz="4" w:space="0"/>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套管橡胶圈止水</w:t>
            </w:r>
          </w:p>
        </w:tc>
      </w:tr>
      <w:tr>
        <w:trPr>
          <w:trHeight w:val="20" w:hRule="atLeast"/>
        </w:trPr>
        <w:tc>
          <w:tcPr>
            <w:tcW w:w="833"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粗糙度</w:t>
            </w:r>
          </w:p>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（n值）</w:t>
            </w:r>
          </w:p>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水头损失</w:t>
            </w:r>
          </w:p>
        </w:tc>
        <w:tc>
          <w:tcPr>
            <w:tcW w:w="834"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0.013-0.014水头损失较大</w:t>
            </w:r>
          </w:p>
        </w:tc>
        <w:tc>
          <w:tcPr>
            <w:tcW w:w="834"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0.013水泥内村水头损失较大</w:t>
            </w:r>
          </w:p>
        </w:tc>
        <w:tc>
          <w:tcPr>
            <w:tcW w:w="833"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0.010水头损失较小</w:t>
            </w:r>
          </w:p>
        </w:tc>
        <w:tc>
          <w:tcPr>
            <w:tcW w:w="834"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rPr>
              <w:t>0.010水头损失较小</w:t>
            </w:r>
          </w:p>
        </w:tc>
        <w:tc>
          <w:tcPr>
            <w:tcW w:w="832" w:type="pct"/>
            <w:tcBorders>
              <w:top w:val="single" w:color="auto" w:sz="4" w:space="0"/>
              <w:left w:val="single" w:color="auto" w:sz="4" w:space="0"/>
              <w:bottom w:val="single" w:color="auto" w:sz="4" w:space="0"/>
              <w:right w:val="single" w:color="auto" w:sz="4" w:space="0"/>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0.010水头损失较小</w:t>
            </w:r>
          </w:p>
        </w:tc>
      </w:tr>
      <w:tr>
        <w:tblPrEx>
          <w:tblCellMar>
            <w:top w:w="0" w:type="dxa"/>
            <w:left w:w="0" w:type="dxa"/>
            <w:bottom w:w="0" w:type="dxa"/>
            <w:right w:w="0" w:type="dxa"/>
          </w:tblCellMar>
        </w:tblPrEx>
        <w:trPr>
          <w:trHeight w:val="20" w:hRule="atLeast"/>
        </w:trPr>
        <w:tc>
          <w:tcPr>
            <w:tcW w:w="833"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重量管材运输</w:t>
            </w:r>
          </w:p>
        </w:tc>
        <w:tc>
          <w:tcPr>
            <w:tcW w:w="834"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重量较大运输较麻烦</w:t>
            </w:r>
          </w:p>
        </w:tc>
        <w:tc>
          <w:tcPr>
            <w:tcW w:w="834"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重量较大现场制作</w:t>
            </w:r>
          </w:p>
        </w:tc>
        <w:tc>
          <w:tcPr>
            <w:tcW w:w="833"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重量较小运输方便</w:t>
            </w:r>
          </w:p>
        </w:tc>
        <w:tc>
          <w:tcPr>
            <w:tcW w:w="834"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rPr>
              <w:t>重量较小运输方便</w:t>
            </w:r>
          </w:p>
        </w:tc>
        <w:tc>
          <w:tcPr>
            <w:tcW w:w="832" w:type="pct"/>
            <w:tcBorders>
              <w:top w:val="single" w:color="auto" w:sz="4" w:space="0"/>
              <w:left w:val="single" w:color="auto" w:sz="4" w:space="0"/>
              <w:bottom w:val="single" w:color="auto" w:sz="4" w:space="0"/>
              <w:right w:val="single" w:color="auto" w:sz="4" w:space="0"/>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重量较小运输方便</w:t>
            </w:r>
          </w:p>
        </w:tc>
      </w:tr>
      <w:tr>
        <w:trPr>
          <w:trHeight w:val="20" w:hRule="atLeast"/>
        </w:trPr>
        <w:tc>
          <w:tcPr>
            <w:tcW w:w="833"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管材价格</w:t>
            </w:r>
          </w:p>
        </w:tc>
        <w:tc>
          <w:tcPr>
            <w:tcW w:w="834"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最便宜</w:t>
            </w:r>
          </w:p>
        </w:tc>
        <w:tc>
          <w:tcPr>
            <w:tcW w:w="834"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较便宜</w:t>
            </w:r>
          </w:p>
        </w:tc>
        <w:tc>
          <w:tcPr>
            <w:tcW w:w="833"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较贵</w:t>
            </w:r>
          </w:p>
        </w:tc>
        <w:tc>
          <w:tcPr>
            <w:tcW w:w="834"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rPr>
              <w:t>最贵</w:t>
            </w:r>
          </w:p>
        </w:tc>
        <w:tc>
          <w:tcPr>
            <w:tcW w:w="832" w:type="pct"/>
            <w:tcBorders>
              <w:top w:val="single" w:color="auto" w:sz="4" w:space="0"/>
              <w:left w:val="single" w:color="auto" w:sz="4" w:space="0"/>
              <w:bottom w:val="single" w:color="auto" w:sz="4" w:space="0"/>
              <w:right w:val="single" w:color="auto" w:sz="4" w:space="0"/>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便宜</w:t>
            </w:r>
          </w:p>
        </w:tc>
      </w:tr>
      <w:tr>
        <w:tblPrEx>
          <w:tblCellMar>
            <w:top w:w="0" w:type="dxa"/>
            <w:left w:w="0" w:type="dxa"/>
            <w:bottom w:w="0" w:type="dxa"/>
            <w:right w:w="0" w:type="dxa"/>
          </w:tblCellMar>
        </w:tblPrEx>
        <w:trPr>
          <w:trHeight w:val="20" w:hRule="atLeast"/>
        </w:trPr>
        <w:tc>
          <w:tcPr>
            <w:tcW w:w="833"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管道综合价埋深2m</w:t>
            </w:r>
          </w:p>
        </w:tc>
        <w:tc>
          <w:tcPr>
            <w:tcW w:w="834"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最便宜</w:t>
            </w:r>
          </w:p>
        </w:tc>
        <w:tc>
          <w:tcPr>
            <w:tcW w:w="834"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贵</w:t>
            </w:r>
          </w:p>
        </w:tc>
        <w:tc>
          <w:tcPr>
            <w:tcW w:w="833"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最贵</w:t>
            </w:r>
          </w:p>
        </w:tc>
        <w:tc>
          <w:tcPr>
            <w:tcW w:w="834"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rPr>
              <w:t>最贵</w:t>
            </w:r>
          </w:p>
        </w:tc>
        <w:tc>
          <w:tcPr>
            <w:tcW w:w="832" w:type="pct"/>
            <w:tcBorders>
              <w:top w:val="single" w:color="auto" w:sz="4" w:space="0"/>
              <w:left w:val="single" w:color="auto" w:sz="4" w:space="0"/>
              <w:bottom w:val="single" w:color="auto" w:sz="4" w:space="0"/>
              <w:right w:val="single" w:color="auto" w:sz="4" w:space="0"/>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便宜</w:t>
            </w:r>
          </w:p>
        </w:tc>
      </w:tr>
      <w:tr>
        <w:trPr>
          <w:trHeight w:val="20" w:hRule="atLeast"/>
        </w:trPr>
        <w:tc>
          <w:tcPr>
            <w:tcW w:w="833"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对基础要求</w:t>
            </w:r>
          </w:p>
        </w:tc>
        <w:tc>
          <w:tcPr>
            <w:tcW w:w="834"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较高</w:t>
            </w:r>
          </w:p>
        </w:tc>
        <w:tc>
          <w:tcPr>
            <w:tcW w:w="834"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较低</w:t>
            </w:r>
          </w:p>
        </w:tc>
        <w:tc>
          <w:tcPr>
            <w:tcW w:w="833"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较低</w:t>
            </w:r>
          </w:p>
        </w:tc>
        <w:tc>
          <w:tcPr>
            <w:tcW w:w="834" w:type="pct"/>
            <w:tcBorders>
              <w:top w:val="single" w:color="auto" w:sz="4" w:space="0"/>
              <w:left w:val="single" w:color="auto" w:sz="4" w:space="0"/>
              <w:bottom w:val="single" w:color="auto" w:sz="4" w:space="0"/>
              <w:right w:val="nil"/>
            </w:tcBorders>
            <w:shd w:val="clear" w:color="auto" w:fill="FFFFFF"/>
            <w:vAlign w:val="center"/>
          </w:tcPr>
          <w:p>
            <w:pPr>
              <w:adjustRightInd w:val="0"/>
              <w:snapToGrid w:val="0"/>
              <w:spacing w:line="240" w:lineRule="auto"/>
              <w:ind w:firstLine="0" w:firstLineChars="0"/>
              <w:jc w:val="center"/>
              <w:rPr>
                <w:rFonts w:cs="Times New Roman"/>
                <w:kern w:val="0"/>
                <w:sz w:val="21"/>
                <w:szCs w:val="21"/>
              </w:rPr>
            </w:pPr>
            <w:r>
              <w:rPr>
                <w:rFonts w:cs="Times New Roman"/>
                <w:kern w:val="0"/>
                <w:sz w:val="21"/>
                <w:szCs w:val="21"/>
              </w:rPr>
              <w:t>较低</w:t>
            </w:r>
          </w:p>
        </w:tc>
        <w:tc>
          <w:tcPr>
            <w:tcW w:w="832" w:type="pct"/>
            <w:tcBorders>
              <w:top w:val="single" w:color="auto" w:sz="4" w:space="0"/>
              <w:left w:val="single" w:color="auto" w:sz="4" w:space="0"/>
              <w:bottom w:val="single" w:color="auto" w:sz="4" w:space="0"/>
              <w:right w:val="single" w:color="auto" w:sz="4" w:space="0"/>
            </w:tcBorders>
            <w:shd w:val="clear" w:color="auto" w:fill="FFFFFF"/>
            <w:vAlign w:val="center"/>
          </w:tcPr>
          <w:p>
            <w:pPr>
              <w:adjustRightInd w:val="0"/>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较低</w:t>
            </w:r>
          </w:p>
        </w:tc>
      </w:tr>
    </w:tbl>
    <w:p>
      <w:pPr>
        <w:ind w:firstLine="480"/>
        <w:rPr>
          <w:rFonts w:cs="Times New Roman"/>
        </w:rPr>
      </w:pPr>
      <w:r>
        <w:rPr>
          <w:rFonts w:cs="Times New Roman"/>
        </w:rPr>
        <w:t>根据各种管材的特性，推荐采用高密度聚乙烯（HDPE）螺旋双壁波纹管，环刚度大于等于8000N/m</w:t>
      </w:r>
      <w:r>
        <w:rPr>
          <w:rFonts w:cs="Times New Roman"/>
          <w:vertAlign w:val="superscript"/>
        </w:rPr>
        <w:t>2</w:t>
      </w:r>
      <w:r>
        <w:rPr>
          <w:rFonts w:cs="Times New Roman"/>
        </w:rPr>
        <w:t>。</w:t>
      </w:r>
    </w:p>
    <w:p>
      <w:pPr>
        <w:pStyle w:val="9"/>
      </w:pPr>
      <w:r>
        <w:t>5.3.3.3 管道与检查井连接</w:t>
      </w:r>
    </w:p>
    <w:p>
      <w:pPr>
        <w:ind w:firstLine="480"/>
        <w:rPr>
          <w:rFonts w:cs="Times New Roman"/>
        </w:rPr>
      </w:pPr>
      <w:r>
        <w:rPr>
          <w:rFonts w:cs="Times New Roman"/>
        </w:rPr>
        <w:t>管道系统配置的检查井宜选用优质成品检查井，以保证管道建设质量，缩短施工周期。管道与检查井宜采用柔性连接方式。</w:t>
      </w:r>
    </w:p>
    <w:p>
      <w:pPr>
        <w:ind w:firstLine="480"/>
        <w:rPr>
          <w:rFonts w:cs="Times New Roman"/>
        </w:rPr>
      </w:pPr>
      <w:r>
        <w:rPr>
          <w:rFonts w:cs="Times New Roman"/>
        </w:rPr>
        <w:t>不同直径的管道在检查井内的连接，宜采用管顶平接或水面平接。</w:t>
      </w:r>
    </w:p>
    <w:p>
      <w:pPr>
        <w:pStyle w:val="8"/>
        <w:ind w:firstLine="140" w:firstLineChars="50"/>
        <w:rPr>
          <w:rFonts w:ascii="Times New Roman" w:hAnsi="Times New Roman" w:cs="Times New Roman"/>
        </w:rPr>
      </w:pPr>
      <w:r>
        <w:rPr>
          <w:rFonts w:ascii="Times New Roman" w:hAnsi="Times New Roman" w:cs="Times New Roman"/>
        </w:rPr>
        <w:t>5.3.4 配套管网建设</w:t>
      </w:r>
    </w:p>
    <w:p>
      <w:pPr>
        <w:ind w:firstLine="480"/>
        <w:rPr>
          <w:rFonts w:cs="Times New Roman"/>
        </w:rPr>
      </w:pPr>
      <w:r>
        <w:rPr>
          <w:rFonts w:cs="Times New Roman"/>
        </w:rPr>
        <w:t>结合村庄现有管网的铺设现状以及村镇房屋分布格局，同时兼顾工程的可实施性，新建配套污水干管宜沿村镇主干路与次干路进行铺设。对纳入城镇污水管网的村庄和集中治理的村庄，其主要污水干管建设长度见表5.3-2，支管长与干管长按1:1计算，规格为DN300。对于分散治理村庄，管网铺设以出户管和连接管为主。</w:t>
      </w:r>
    </w:p>
    <w:p>
      <w:pPr>
        <w:pStyle w:val="16"/>
        <w:ind w:firstLine="0" w:firstLineChars="0"/>
        <w:rPr>
          <w:rFonts w:eastAsia="黑体" w:cs="Times New Roman"/>
          <w:b w:val="0"/>
          <w:bCs/>
        </w:rPr>
      </w:pPr>
      <w:r>
        <w:rPr>
          <w:rFonts w:eastAsia="黑体" w:cs="Times New Roman"/>
          <w:b w:val="0"/>
          <w:bCs/>
        </w:rPr>
        <w:t>表5-9  纳管和集中治理村庄主要管网长</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1687"/>
        <w:gridCol w:w="1614"/>
        <w:gridCol w:w="2078"/>
        <w:gridCol w:w="1566"/>
        <w:gridCol w:w="14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350" w:type="pc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序号</w:t>
            </w:r>
          </w:p>
        </w:tc>
        <w:tc>
          <w:tcPr>
            <w:tcW w:w="931" w:type="pct"/>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乡镇</w:t>
            </w:r>
          </w:p>
        </w:tc>
        <w:tc>
          <w:tcPr>
            <w:tcW w:w="890" w:type="pc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1146" w:type="pct"/>
            <w:vAlign w:val="center"/>
          </w:tcPr>
          <w:p>
            <w:pPr>
              <w:widowControl/>
              <w:spacing w:line="240" w:lineRule="auto"/>
              <w:ind w:firstLine="0" w:firstLineChars="0"/>
              <w:jc w:val="center"/>
              <w:rPr>
                <w:rFonts w:eastAsia="黑体" w:cs="Times New Roman"/>
                <w:kern w:val="0"/>
                <w:sz w:val="21"/>
                <w:szCs w:val="21"/>
              </w:rPr>
            </w:pPr>
            <w:r>
              <w:rPr>
                <w:rFonts w:hint="eastAsia" w:eastAsia="黑体" w:cs="Times New Roman"/>
                <w:kern w:val="0"/>
                <w:sz w:val="21"/>
                <w:szCs w:val="21"/>
              </w:rPr>
              <w:t>处理方式</w:t>
            </w:r>
          </w:p>
        </w:tc>
        <w:tc>
          <w:tcPr>
            <w:tcW w:w="864" w:type="pc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干管长（km）</w:t>
            </w:r>
          </w:p>
        </w:tc>
        <w:tc>
          <w:tcPr>
            <w:tcW w:w="816" w:type="pct"/>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管网长（km）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50" w:type="pct"/>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w:t>
            </w:r>
          </w:p>
        </w:tc>
        <w:tc>
          <w:tcPr>
            <w:tcW w:w="931" w:type="pct"/>
            <w:vMerge w:val="restart"/>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东关镇</w:t>
            </w:r>
          </w:p>
        </w:tc>
        <w:tc>
          <w:tcPr>
            <w:tcW w:w="890" w:type="pct"/>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铁匠铺村</w:t>
            </w:r>
          </w:p>
        </w:tc>
        <w:tc>
          <w:tcPr>
            <w:tcW w:w="1146" w:type="pct"/>
            <w:vMerge w:val="restart"/>
            <w:vAlign w:val="center"/>
          </w:tcPr>
          <w:p>
            <w:pPr>
              <w:spacing w:line="240" w:lineRule="auto"/>
              <w:ind w:firstLine="0" w:firstLineChars="0"/>
              <w:jc w:val="center"/>
              <w:rPr>
                <w:rFonts w:cs="Times New Roman"/>
                <w:kern w:val="0"/>
                <w:sz w:val="21"/>
                <w:szCs w:val="21"/>
              </w:rPr>
            </w:pPr>
            <w:r>
              <w:rPr>
                <w:rFonts w:hint="eastAsia" w:cs="Times New Roman"/>
                <w:kern w:val="0"/>
                <w:sz w:val="21"/>
                <w:szCs w:val="21"/>
              </w:rPr>
              <w:t>截污纳管</w:t>
            </w:r>
          </w:p>
        </w:tc>
        <w:tc>
          <w:tcPr>
            <w:tcW w:w="864" w:type="pct"/>
            <w:vMerge w:val="restart"/>
            <w:shd w:val="clear" w:color="auto" w:fill="auto"/>
            <w:noWrap/>
            <w:vAlign w:val="center"/>
          </w:tcPr>
          <w:p>
            <w:pPr>
              <w:spacing w:line="240" w:lineRule="auto"/>
              <w:ind w:firstLine="0" w:firstLineChars="0"/>
              <w:jc w:val="center"/>
              <w:rPr>
                <w:rFonts w:cs="Times New Roman"/>
                <w:kern w:val="0"/>
                <w:sz w:val="21"/>
                <w:szCs w:val="21"/>
              </w:rPr>
            </w:pPr>
            <w:r>
              <w:rPr>
                <w:rFonts w:cs="Times New Roman"/>
                <w:kern w:val="0"/>
                <w:sz w:val="21"/>
                <w:szCs w:val="21"/>
              </w:rPr>
              <w:t>18.929</w:t>
            </w:r>
          </w:p>
        </w:tc>
        <w:tc>
          <w:tcPr>
            <w:tcW w:w="816" w:type="pct"/>
            <w:vMerge w:val="restart"/>
            <w:vAlign w:val="center"/>
          </w:tcPr>
          <w:p>
            <w:pPr>
              <w:spacing w:line="240" w:lineRule="auto"/>
              <w:ind w:firstLine="0" w:firstLineChars="0"/>
              <w:jc w:val="center"/>
              <w:rPr>
                <w:rFonts w:cs="Times New Roman"/>
                <w:kern w:val="0"/>
                <w:sz w:val="21"/>
                <w:szCs w:val="21"/>
              </w:rPr>
            </w:pPr>
            <w:r>
              <w:rPr>
                <w:rFonts w:cs="Times New Roman"/>
                <w:kern w:val="0"/>
                <w:sz w:val="21"/>
                <w:szCs w:val="21"/>
              </w:rPr>
              <w:t>37.859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50" w:type="pct"/>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2</w:t>
            </w:r>
          </w:p>
        </w:tc>
        <w:tc>
          <w:tcPr>
            <w:tcW w:w="931" w:type="pct"/>
            <w:vMerge w:val="continue"/>
            <w:vAlign w:val="center"/>
          </w:tcPr>
          <w:p>
            <w:pPr>
              <w:spacing w:line="240" w:lineRule="auto"/>
              <w:ind w:firstLine="420"/>
              <w:jc w:val="center"/>
              <w:rPr>
                <w:rFonts w:cs="Times New Roman"/>
                <w:kern w:val="0"/>
                <w:sz w:val="21"/>
                <w:szCs w:val="21"/>
              </w:rPr>
            </w:pPr>
          </w:p>
        </w:tc>
        <w:tc>
          <w:tcPr>
            <w:tcW w:w="890" w:type="pct"/>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郭家滩村</w:t>
            </w:r>
          </w:p>
        </w:tc>
        <w:tc>
          <w:tcPr>
            <w:tcW w:w="1146" w:type="pct"/>
            <w:vMerge w:val="continue"/>
            <w:vAlign w:val="center"/>
          </w:tcPr>
          <w:p>
            <w:pPr>
              <w:spacing w:line="240" w:lineRule="auto"/>
              <w:ind w:firstLine="0" w:firstLineChars="0"/>
              <w:jc w:val="center"/>
              <w:rPr>
                <w:rFonts w:cs="Times New Roman"/>
                <w:kern w:val="0"/>
                <w:sz w:val="21"/>
                <w:szCs w:val="21"/>
              </w:rPr>
            </w:pPr>
          </w:p>
        </w:tc>
        <w:tc>
          <w:tcPr>
            <w:tcW w:w="864" w:type="pct"/>
            <w:vMerge w:val="continue"/>
            <w:shd w:val="clear" w:color="auto" w:fill="auto"/>
            <w:noWrap/>
            <w:vAlign w:val="center"/>
          </w:tcPr>
          <w:p>
            <w:pPr>
              <w:spacing w:line="240" w:lineRule="auto"/>
              <w:ind w:firstLine="0" w:firstLineChars="0"/>
              <w:jc w:val="center"/>
              <w:rPr>
                <w:rFonts w:cs="Times New Roman"/>
                <w:kern w:val="0"/>
                <w:sz w:val="21"/>
                <w:szCs w:val="21"/>
              </w:rPr>
            </w:pPr>
          </w:p>
        </w:tc>
        <w:tc>
          <w:tcPr>
            <w:tcW w:w="816" w:type="pct"/>
            <w:vMerge w:val="continue"/>
            <w:vAlign w:val="center"/>
          </w:tcPr>
          <w:p>
            <w:pPr>
              <w:spacing w:line="240" w:lineRule="auto"/>
              <w:ind w:firstLine="0" w:firstLineChars="0"/>
              <w:jc w:val="center"/>
              <w:rPr>
                <w:rFonts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50" w:type="pct"/>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3</w:t>
            </w:r>
          </w:p>
        </w:tc>
        <w:tc>
          <w:tcPr>
            <w:tcW w:w="931" w:type="pct"/>
            <w:vMerge w:val="continue"/>
            <w:vAlign w:val="center"/>
          </w:tcPr>
          <w:p>
            <w:pPr>
              <w:spacing w:line="240" w:lineRule="auto"/>
              <w:ind w:firstLine="420"/>
              <w:jc w:val="center"/>
              <w:rPr>
                <w:rFonts w:cs="Times New Roman"/>
                <w:kern w:val="0"/>
                <w:sz w:val="21"/>
                <w:szCs w:val="21"/>
              </w:rPr>
            </w:pPr>
          </w:p>
        </w:tc>
        <w:tc>
          <w:tcPr>
            <w:tcW w:w="890" w:type="pct"/>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王家滩村</w:t>
            </w:r>
          </w:p>
        </w:tc>
        <w:tc>
          <w:tcPr>
            <w:tcW w:w="1146" w:type="pct"/>
            <w:vMerge w:val="continue"/>
            <w:vAlign w:val="center"/>
          </w:tcPr>
          <w:p>
            <w:pPr>
              <w:spacing w:line="240" w:lineRule="auto"/>
              <w:ind w:firstLine="0" w:firstLineChars="0"/>
              <w:jc w:val="center"/>
              <w:rPr>
                <w:rFonts w:cs="Times New Roman"/>
                <w:kern w:val="0"/>
                <w:sz w:val="21"/>
                <w:szCs w:val="21"/>
              </w:rPr>
            </w:pPr>
          </w:p>
        </w:tc>
        <w:tc>
          <w:tcPr>
            <w:tcW w:w="864" w:type="pct"/>
            <w:vMerge w:val="continue"/>
            <w:shd w:val="clear" w:color="auto" w:fill="auto"/>
            <w:noWrap/>
            <w:vAlign w:val="center"/>
          </w:tcPr>
          <w:p>
            <w:pPr>
              <w:spacing w:line="240" w:lineRule="auto"/>
              <w:ind w:firstLine="0" w:firstLineChars="0"/>
              <w:jc w:val="center"/>
              <w:rPr>
                <w:rFonts w:cs="Times New Roman"/>
                <w:kern w:val="0"/>
                <w:sz w:val="21"/>
                <w:szCs w:val="21"/>
              </w:rPr>
            </w:pPr>
          </w:p>
        </w:tc>
        <w:tc>
          <w:tcPr>
            <w:tcW w:w="816" w:type="pct"/>
            <w:vMerge w:val="continue"/>
            <w:vAlign w:val="center"/>
          </w:tcPr>
          <w:p>
            <w:pPr>
              <w:spacing w:line="240" w:lineRule="auto"/>
              <w:ind w:firstLine="0" w:firstLineChars="0"/>
              <w:jc w:val="center"/>
              <w:rPr>
                <w:rFonts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50" w:type="pct"/>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4</w:t>
            </w:r>
          </w:p>
        </w:tc>
        <w:tc>
          <w:tcPr>
            <w:tcW w:w="931" w:type="pct"/>
            <w:vMerge w:val="continue"/>
            <w:vAlign w:val="center"/>
          </w:tcPr>
          <w:p>
            <w:pPr>
              <w:widowControl/>
              <w:spacing w:line="240" w:lineRule="auto"/>
              <w:ind w:firstLine="0" w:firstLineChars="0"/>
              <w:jc w:val="center"/>
              <w:rPr>
                <w:rFonts w:cs="Times New Roman"/>
                <w:kern w:val="0"/>
                <w:sz w:val="21"/>
                <w:szCs w:val="21"/>
              </w:rPr>
            </w:pPr>
          </w:p>
        </w:tc>
        <w:tc>
          <w:tcPr>
            <w:tcW w:w="890" w:type="pct"/>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马家</w:t>
            </w:r>
            <w:r>
              <w:rPr>
                <w:rFonts w:hint="eastAsia" w:cs="Times New Roman"/>
                <w:kern w:val="0"/>
                <w:sz w:val="21"/>
                <w:szCs w:val="21"/>
              </w:rPr>
              <w:t>滩</w:t>
            </w:r>
            <w:r>
              <w:rPr>
                <w:rFonts w:cs="Times New Roman"/>
                <w:kern w:val="0"/>
                <w:sz w:val="21"/>
                <w:szCs w:val="21"/>
              </w:rPr>
              <w:t>村</w:t>
            </w:r>
          </w:p>
        </w:tc>
        <w:tc>
          <w:tcPr>
            <w:tcW w:w="1146" w:type="pct"/>
            <w:vMerge w:val="continue"/>
            <w:vAlign w:val="center"/>
          </w:tcPr>
          <w:p>
            <w:pPr>
              <w:spacing w:line="240" w:lineRule="auto"/>
              <w:ind w:firstLine="0" w:firstLineChars="0"/>
              <w:jc w:val="center"/>
              <w:rPr>
                <w:rFonts w:cs="Times New Roman"/>
                <w:kern w:val="0"/>
                <w:sz w:val="21"/>
                <w:szCs w:val="21"/>
              </w:rPr>
            </w:pPr>
          </w:p>
        </w:tc>
        <w:tc>
          <w:tcPr>
            <w:tcW w:w="864" w:type="pct"/>
            <w:vMerge w:val="continue"/>
            <w:shd w:val="clear" w:color="auto" w:fill="auto"/>
            <w:noWrap/>
            <w:vAlign w:val="center"/>
          </w:tcPr>
          <w:p>
            <w:pPr>
              <w:spacing w:line="240" w:lineRule="auto"/>
              <w:ind w:firstLine="0" w:firstLineChars="0"/>
              <w:jc w:val="center"/>
              <w:rPr>
                <w:rFonts w:cs="Times New Roman"/>
                <w:kern w:val="0"/>
                <w:sz w:val="21"/>
                <w:szCs w:val="21"/>
              </w:rPr>
            </w:pPr>
          </w:p>
        </w:tc>
        <w:tc>
          <w:tcPr>
            <w:tcW w:w="816" w:type="pct"/>
            <w:vMerge w:val="continue"/>
            <w:vAlign w:val="center"/>
          </w:tcPr>
          <w:p>
            <w:pPr>
              <w:spacing w:line="240" w:lineRule="auto"/>
              <w:ind w:firstLine="0" w:firstLineChars="0"/>
              <w:jc w:val="center"/>
              <w:rPr>
                <w:rFonts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50" w:type="pct"/>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5</w:t>
            </w:r>
          </w:p>
        </w:tc>
        <w:tc>
          <w:tcPr>
            <w:tcW w:w="931" w:type="pct"/>
            <w:vMerge w:val="continue"/>
            <w:vAlign w:val="center"/>
          </w:tcPr>
          <w:p>
            <w:pPr>
              <w:widowControl/>
              <w:spacing w:line="240" w:lineRule="auto"/>
              <w:ind w:firstLine="0" w:firstLineChars="0"/>
              <w:jc w:val="center"/>
              <w:rPr>
                <w:rFonts w:cs="Times New Roman"/>
                <w:kern w:val="0"/>
                <w:sz w:val="21"/>
                <w:szCs w:val="21"/>
              </w:rPr>
            </w:pPr>
          </w:p>
        </w:tc>
        <w:tc>
          <w:tcPr>
            <w:tcW w:w="890" w:type="pct"/>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张家圪</w:t>
            </w:r>
            <w:r>
              <w:rPr>
                <w:rFonts w:hint="eastAsia" w:cs="Times New Roman"/>
                <w:kern w:val="0"/>
                <w:sz w:val="21"/>
                <w:szCs w:val="21"/>
                <w:lang w:eastAsia="zh-CN"/>
              </w:rPr>
              <w:t>坨</w:t>
            </w:r>
            <w:r>
              <w:rPr>
                <w:rFonts w:hint="eastAsia" w:cs="Times New Roman"/>
                <w:kern w:val="0"/>
                <w:sz w:val="21"/>
                <w:szCs w:val="21"/>
              </w:rPr>
              <w:t>村</w:t>
            </w:r>
          </w:p>
        </w:tc>
        <w:tc>
          <w:tcPr>
            <w:tcW w:w="1146" w:type="pct"/>
            <w:vMerge w:val="continue"/>
            <w:vAlign w:val="center"/>
          </w:tcPr>
          <w:p>
            <w:pPr>
              <w:spacing w:line="240" w:lineRule="auto"/>
              <w:ind w:firstLine="0" w:firstLineChars="0"/>
              <w:jc w:val="center"/>
              <w:rPr>
                <w:rFonts w:cs="Times New Roman"/>
                <w:kern w:val="0"/>
                <w:sz w:val="21"/>
                <w:szCs w:val="21"/>
              </w:rPr>
            </w:pPr>
          </w:p>
        </w:tc>
        <w:tc>
          <w:tcPr>
            <w:tcW w:w="864" w:type="pct"/>
            <w:vMerge w:val="continue"/>
            <w:shd w:val="clear" w:color="auto" w:fill="auto"/>
            <w:noWrap/>
            <w:vAlign w:val="center"/>
          </w:tcPr>
          <w:p>
            <w:pPr>
              <w:spacing w:line="240" w:lineRule="auto"/>
              <w:ind w:firstLine="0" w:firstLineChars="0"/>
              <w:jc w:val="center"/>
              <w:rPr>
                <w:rFonts w:cs="Times New Roman"/>
                <w:kern w:val="0"/>
                <w:sz w:val="21"/>
                <w:szCs w:val="21"/>
              </w:rPr>
            </w:pPr>
          </w:p>
        </w:tc>
        <w:tc>
          <w:tcPr>
            <w:tcW w:w="816" w:type="pct"/>
            <w:vMerge w:val="continue"/>
            <w:vAlign w:val="center"/>
          </w:tcPr>
          <w:p>
            <w:pPr>
              <w:spacing w:line="240" w:lineRule="auto"/>
              <w:ind w:firstLine="0" w:firstLineChars="0"/>
              <w:jc w:val="center"/>
              <w:rPr>
                <w:rFonts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50" w:type="pct"/>
            <w:shd w:val="clear" w:color="auto" w:fill="auto"/>
            <w:noWrap/>
            <w:vAlign w:val="center"/>
          </w:tcPr>
          <w:p>
            <w:pPr>
              <w:widowControl/>
              <w:spacing w:line="240" w:lineRule="auto"/>
              <w:ind w:firstLine="0" w:firstLineChars="0"/>
              <w:jc w:val="center"/>
              <w:rPr>
                <w:rFonts w:hint="eastAsia" w:eastAsia="宋体" w:cs="Times New Roman"/>
                <w:kern w:val="0"/>
                <w:sz w:val="21"/>
                <w:szCs w:val="21"/>
                <w:lang w:eastAsia="zh-CN"/>
              </w:rPr>
            </w:pPr>
            <w:r>
              <w:rPr>
                <w:rFonts w:hint="eastAsia" w:cs="Times New Roman"/>
                <w:kern w:val="0"/>
                <w:sz w:val="21"/>
                <w:szCs w:val="21"/>
                <w:lang w:val="en-US" w:eastAsia="zh-CN"/>
              </w:rPr>
              <w:t>6</w:t>
            </w:r>
          </w:p>
        </w:tc>
        <w:tc>
          <w:tcPr>
            <w:tcW w:w="931" w:type="pct"/>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杨家湾镇</w:t>
            </w:r>
          </w:p>
        </w:tc>
        <w:tc>
          <w:tcPr>
            <w:tcW w:w="890" w:type="pct"/>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花园村</w:t>
            </w:r>
          </w:p>
        </w:tc>
        <w:tc>
          <w:tcPr>
            <w:tcW w:w="1146" w:type="pct"/>
            <w:vAlign w:val="center"/>
          </w:tcPr>
          <w:p>
            <w:pPr>
              <w:spacing w:line="240" w:lineRule="auto"/>
              <w:ind w:firstLine="0" w:firstLineChars="0"/>
              <w:jc w:val="center"/>
              <w:rPr>
                <w:rFonts w:cs="Times New Roman"/>
                <w:sz w:val="21"/>
                <w:szCs w:val="21"/>
              </w:rPr>
            </w:pPr>
            <w:r>
              <w:rPr>
                <w:rFonts w:hint="eastAsia" w:cs="Times New Roman"/>
                <w:sz w:val="21"/>
                <w:szCs w:val="21"/>
              </w:rPr>
              <w:t>集中治理</w:t>
            </w:r>
          </w:p>
        </w:tc>
        <w:tc>
          <w:tcPr>
            <w:tcW w:w="864"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2.144</w:t>
            </w:r>
          </w:p>
        </w:tc>
        <w:tc>
          <w:tcPr>
            <w:tcW w:w="816" w:type="pct"/>
            <w:vAlign w:val="center"/>
          </w:tcPr>
          <w:p>
            <w:pPr>
              <w:spacing w:line="240" w:lineRule="auto"/>
              <w:ind w:firstLine="0" w:firstLineChars="0"/>
              <w:jc w:val="center"/>
              <w:rPr>
                <w:rFonts w:cs="Times New Roman"/>
                <w:kern w:val="0"/>
                <w:sz w:val="21"/>
                <w:szCs w:val="21"/>
              </w:rPr>
            </w:pPr>
            <w:r>
              <w:rPr>
                <w:rFonts w:cs="Times New Roman"/>
                <w:kern w:val="0"/>
                <w:sz w:val="21"/>
                <w:szCs w:val="21"/>
              </w:rPr>
              <w:t>4.288</w:t>
            </w:r>
          </w:p>
        </w:tc>
      </w:tr>
    </w:tbl>
    <w:p>
      <w:pPr>
        <w:pStyle w:val="7"/>
        <w:rPr>
          <w:rFonts w:ascii="Times New Roman" w:hAnsi="Times New Roman" w:cs="Times New Roman"/>
        </w:rPr>
      </w:pPr>
      <w:bookmarkStart w:id="46" w:name="_Toc43848818"/>
      <w:r>
        <w:rPr>
          <w:rFonts w:ascii="Times New Roman" w:hAnsi="Times New Roman" w:cs="Times New Roman"/>
        </w:rPr>
        <w:t>5.4 处理技术</w:t>
      </w:r>
      <w:bookmarkEnd w:id="46"/>
    </w:p>
    <w:p>
      <w:pPr>
        <w:ind w:firstLine="480"/>
        <w:rPr>
          <w:rFonts w:cs="Times New Roman"/>
        </w:rPr>
      </w:pPr>
      <w:r>
        <w:rPr>
          <w:rFonts w:cs="Times New Roman"/>
        </w:rPr>
        <w:t>农村生活污水处理技术的选择应与村庄自然地理条件、人口规模、住户分布密度、环境条件、经济条件、排放要求等相适应，选择适宜当地的污水处理技术。处理技术的选择应遵循以下原则：</w:t>
      </w:r>
    </w:p>
    <w:p>
      <w:pPr>
        <w:ind w:firstLine="480"/>
        <w:rPr>
          <w:rFonts w:cs="Times New Roman"/>
        </w:rPr>
      </w:pPr>
      <w:r>
        <w:rPr>
          <w:rFonts w:cs="Times New Roman"/>
        </w:rPr>
        <w:t>1、选择工艺类型时宜选择运行成本低、维护管理方便、适合气候特点的处理工艺；</w:t>
      </w:r>
    </w:p>
    <w:p>
      <w:pPr>
        <w:ind w:firstLine="480"/>
        <w:rPr>
          <w:rFonts w:cs="Times New Roman"/>
        </w:rPr>
      </w:pPr>
      <w:r>
        <w:rPr>
          <w:rFonts w:cs="Times New Roman"/>
        </w:rPr>
        <w:t>2、充分考虑农村污水总水量小、时段水量变化大、水质变化小、污水收集困难等特点，选择切实可行的处理工艺方案，实现污水达标排放和回用。</w:t>
      </w:r>
    </w:p>
    <w:p>
      <w:pPr>
        <w:pStyle w:val="8"/>
        <w:rPr>
          <w:rFonts w:ascii="Times New Roman" w:hAnsi="Times New Roman" w:cs="Times New Roman"/>
        </w:rPr>
      </w:pPr>
      <w:r>
        <w:rPr>
          <w:rFonts w:ascii="Times New Roman" w:hAnsi="Times New Roman" w:cs="Times New Roman"/>
        </w:rPr>
        <w:t>5.4.1 处理工艺</w:t>
      </w:r>
    </w:p>
    <w:p>
      <w:pPr>
        <w:ind w:firstLine="480"/>
        <w:rPr>
          <w:rFonts w:cs="Times New Roman"/>
          <w:kern w:val="0"/>
        </w:rPr>
      </w:pPr>
      <w:r>
        <w:rPr>
          <w:rFonts w:cs="Times New Roman"/>
          <w:kern w:val="0"/>
        </w:rPr>
        <w:t>保德县</w:t>
      </w:r>
      <w:r>
        <w:rPr>
          <w:rFonts w:cs="Times New Roman"/>
        </w:rPr>
        <w:t>适用的污水处理技术包括</w:t>
      </w:r>
      <w:r>
        <w:rPr>
          <w:rFonts w:cs="Times New Roman"/>
          <w:kern w:val="0"/>
        </w:rPr>
        <w:t>A</w:t>
      </w:r>
      <w:r>
        <w:rPr>
          <w:rFonts w:cs="Times New Roman"/>
          <w:kern w:val="0"/>
          <w:vertAlign w:val="superscript"/>
        </w:rPr>
        <w:t>2</w:t>
      </w:r>
      <w:r>
        <w:rPr>
          <w:rFonts w:cs="Times New Roman"/>
          <w:kern w:val="0"/>
        </w:rPr>
        <w:t>/O、A/O、生物接触氧化、生物滤池、移动床生物膜反应器法（MBBR）等生物处理工艺，以及人工湿地、土地处理等生态处理工艺。</w:t>
      </w:r>
    </w:p>
    <w:p>
      <w:pPr>
        <w:ind w:firstLine="482"/>
        <w:rPr>
          <w:rFonts w:cs="Times New Roman"/>
          <w:b/>
          <w:kern w:val="0"/>
        </w:rPr>
      </w:pPr>
      <w:r>
        <w:rPr>
          <w:rFonts w:cs="Times New Roman"/>
          <w:b/>
          <w:kern w:val="0"/>
        </w:rPr>
        <w:t>1、预处理</w:t>
      </w:r>
    </w:p>
    <w:p>
      <w:pPr>
        <w:ind w:firstLine="480"/>
        <w:rPr>
          <w:rFonts w:cs="Times New Roman"/>
          <w:kern w:val="0"/>
        </w:rPr>
      </w:pPr>
      <w:r>
        <w:rPr>
          <w:rFonts w:cs="Times New Roman"/>
          <w:kern w:val="0"/>
        </w:rPr>
        <w:t>预处理可根据实际水质选择格栅、调节池、初沉池和隔油池等，通过预处理设施能起到去除大部分悬浮物质和部分溶解性污染物，调节水质水量等作用，保证处理构筑物的正常运行。预处理的方式应综合考虑污水水质特征、出水水质要求、污水处理工艺类型等因素。</w:t>
      </w:r>
    </w:p>
    <w:p>
      <w:pPr>
        <w:ind w:firstLine="480"/>
        <w:rPr>
          <w:rFonts w:cs="Times New Roman"/>
          <w:kern w:val="0"/>
        </w:rPr>
      </w:pPr>
      <w:r>
        <w:rPr>
          <w:rFonts w:cs="Times New Roman"/>
          <w:kern w:val="0"/>
        </w:rPr>
        <w:t>农村生活污水处理设施中的预处理应注意以下几方面要求：</w:t>
      </w:r>
    </w:p>
    <w:p>
      <w:pPr>
        <w:ind w:firstLine="480"/>
        <w:rPr>
          <w:rFonts w:cs="Times New Roman"/>
          <w:kern w:val="0"/>
        </w:rPr>
      </w:pPr>
      <w:r>
        <w:rPr>
          <w:rFonts w:cs="Times New Roman"/>
          <w:kern w:val="0"/>
        </w:rPr>
        <w:t>①格栅：农村生活污水中常常含有大块悬浮物，为保证后续处理设施正常运行，污水处理应设置除渣设施，除渣设施可选用机械格栅、人工格栅或格网。</w:t>
      </w:r>
    </w:p>
    <w:p>
      <w:pPr>
        <w:ind w:firstLine="480"/>
        <w:rPr>
          <w:rFonts w:cs="Times New Roman"/>
          <w:kern w:val="0"/>
        </w:rPr>
      </w:pPr>
      <w:r>
        <w:rPr>
          <w:rFonts w:cs="Times New Roman"/>
          <w:kern w:val="0"/>
        </w:rPr>
        <w:t>②调节池：农村生活污水排放集中在早、中、晚三个时段，水量波动较大，为提高后续处理系统的稳定性并降低后续设施处理规模，须设置调节池。调节池停留时间越长，水质、水量的调节效果好，但调节池过大，会造成投资浪费，增加占地面积。综合考虑上述因素，从运行可靠性角度出发，规定调节池停留时间不宜少于12h。</w:t>
      </w:r>
    </w:p>
    <w:p>
      <w:pPr>
        <w:ind w:firstLine="480"/>
        <w:rPr>
          <w:rFonts w:cs="Times New Roman"/>
          <w:kern w:val="0"/>
        </w:rPr>
      </w:pPr>
      <w:r>
        <w:rPr>
          <w:rFonts w:cs="Times New Roman"/>
          <w:kern w:val="0"/>
        </w:rPr>
        <w:t>③化粪池：化粪池是一种利用沉淀和厌氧微生物发酵的原理，以去除粪便污水或其他生活污水中悬浮物、有机物和病原微生物为主要目的的小型污水初级处理构筑物。黑水中固体废物较多，如果直接排入管网，容易堵塞，而且污染浓度较高，会增加污水处理设施负荷，因此需先排入化粪池，经化粪池降解、沉淀后，其上清液流入排水管。</w:t>
      </w:r>
    </w:p>
    <w:p>
      <w:pPr>
        <w:ind w:firstLine="480"/>
        <w:rPr>
          <w:rFonts w:cs="Times New Roman"/>
          <w:kern w:val="0"/>
        </w:rPr>
      </w:pPr>
      <w:r>
        <w:rPr>
          <w:rFonts w:cs="Times New Roman"/>
          <w:kern w:val="0"/>
        </w:rPr>
        <w:t>④隔油池：饭店等餐饮旅游设施产生的悬浮物较多，应尽可能截留在源头，减少下游管道的负荷，其排水应先进行隔油处理。</w:t>
      </w:r>
    </w:p>
    <w:p>
      <w:pPr>
        <w:ind w:firstLine="482"/>
        <w:rPr>
          <w:rFonts w:cs="Times New Roman"/>
          <w:b/>
          <w:kern w:val="0"/>
        </w:rPr>
      </w:pPr>
      <w:r>
        <w:rPr>
          <w:rFonts w:cs="Times New Roman"/>
          <w:b/>
          <w:kern w:val="0"/>
        </w:rPr>
        <w:t>2、生物处理</w:t>
      </w:r>
    </w:p>
    <w:p>
      <w:pPr>
        <w:ind w:firstLine="480"/>
        <w:rPr>
          <w:rFonts w:cs="Times New Roman"/>
          <w:kern w:val="0"/>
        </w:rPr>
      </w:pPr>
      <w:r>
        <w:rPr>
          <w:rFonts w:cs="Times New Roman"/>
          <w:kern w:val="0"/>
        </w:rPr>
        <w:t>生物处理技术是利用微生物的代谢作用，使污水中呈溶解态或胶体态的有机污染物转化为稳定的无害物质。考虑到农村生活污水污染物成分简单、污染物负荷较低，农村生活污水处理可采用A</w:t>
      </w:r>
      <w:r>
        <w:rPr>
          <w:rFonts w:cs="Times New Roman"/>
          <w:kern w:val="0"/>
          <w:vertAlign w:val="superscript"/>
        </w:rPr>
        <w:t>2</w:t>
      </w:r>
      <w:r>
        <w:rPr>
          <w:rFonts w:cs="Times New Roman"/>
          <w:kern w:val="0"/>
        </w:rPr>
        <w:t>/O、A/O、生物接触氧化、生物滤池、移动床生物膜反应器法等。由于MBR成本高、运行复杂，不推荐在农村地区使用。</w:t>
      </w:r>
    </w:p>
    <w:p>
      <w:pPr>
        <w:ind w:firstLine="480"/>
        <w:rPr>
          <w:rFonts w:cs="Times New Roman"/>
          <w:kern w:val="0"/>
        </w:rPr>
      </w:pPr>
      <w:r>
        <w:rPr>
          <w:rFonts w:cs="Times New Roman"/>
          <w:kern w:val="0"/>
        </w:rPr>
        <w:t>①A</w:t>
      </w:r>
      <w:r>
        <w:rPr>
          <w:rFonts w:cs="Times New Roman"/>
          <w:kern w:val="0"/>
          <w:vertAlign w:val="superscript"/>
        </w:rPr>
        <w:t>2</w:t>
      </w:r>
      <w:r>
        <w:rPr>
          <w:rFonts w:cs="Times New Roman"/>
          <w:kern w:val="0"/>
        </w:rPr>
        <w:t>/O工艺：厌氧-缺氧-好氧活性污泥法是指通过厌氧区、缺氧区和好氧区的各种组合以及不同的污泥回流方式来去除水中的有机污染物和氮、磷等的活性污泥法污水处理技术。通过好氧区混合液回流到缺氧区来去除水中的氮，通过沉淀区污泥回流到厌氧区来去除水中的磷，从而达到脱氮除磷的目的。</w:t>
      </w:r>
    </w:p>
    <w:p>
      <w:pPr>
        <w:ind w:firstLine="480"/>
        <w:rPr>
          <w:rFonts w:cs="Times New Roman"/>
          <w:kern w:val="0"/>
        </w:rPr>
      </w:pPr>
      <w:r>
        <w:rPr>
          <w:rFonts w:cs="Times New Roman"/>
          <w:kern w:val="0"/>
        </w:rPr>
        <w:t>②A/O工艺：缺氧-好氧活性污泥法是指缺氧、好氧交替状态处理，提高总氮去除率的生物处理。将缺氧和好氧串联在一起，缺氧段中异养菌将污水中的淀粉、纤维、碳水化合物等悬浮污染物和可溶性有机物水解为有机酸，使大分子有机物分解为小分子有机物，不溶性的有机物转化成可溶性有机物，当这些缺氧水解的产物进入好氧池进行好氧处理时，可提高污水的可生化性及氧的效率；在缺氧段，异养菌将蛋白质、脂肪等污染物进行氨化，在充足供氧条件下，自养菌进行硝化作用，在缺氧条件下，异氧菌进行反硝化作用，实现污水无害化处理。</w:t>
      </w:r>
    </w:p>
    <w:p>
      <w:pPr>
        <w:ind w:firstLine="480"/>
        <w:rPr>
          <w:rFonts w:cs="Times New Roman"/>
          <w:kern w:val="0"/>
        </w:rPr>
      </w:pPr>
      <w:r>
        <w:rPr>
          <w:rFonts w:cs="Times New Roman"/>
          <w:kern w:val="0"/>
        </w:rPr>
        <w:t>③生物接触氧化法：指一种好氧生物膜污水处理方法，该系统由浸没于污水中的填料、填料表面的生物膜、曝气系统和池体构成。在有氧条件下，污水与附着在填料表面的生物膜充分接触，通过生物降解作用去除污水中的有机物、营养盐等，使污水得到净化。具有占地面积小、抗冲击负荷能力强、无污泥膨胀，维护管理方便，可不设污泥回流，动力消耗少等特征。</w:t>
      </w:r>
    </w:p>
    <w:p>
      <w:pPr>
        <w:ind w:firstLine="480"/>
        <w:rPr>
          <w:rFonts w:cs="Times New Roman"/>
          <w:kern w:val="0"/>
        </w:rPr>
      </w:pPr>
      <w:r>
        <w:rPr>
          <w:rFonts w:cs="Times New Roman"/>
          <w:kern w:val="0"/>
        </w:rPr>
        <w:t>④生物滤池：依靠污水处理构筑物内填装的填料的物理过滤作用，以及填料上附着生长的生物膜的好氧氧化、缺氧反硝化等生物化学作用联合去除污水中污染物的人工处理技术。由池体、滤料、布水设置和排水系统组成，具有处理效果好、需要定期反冲洗等特征。根据构造特征和净化功能，生物滤池可分为低负荷生物滤池、高负荷生物滤池、塔式生物滤池和曝气生物滤池等。</w:t>
      </w:r>
    </w:p>
    <w:p>
      <w:pPr>
        <w:ind w:firstLine="480"/>
        <w:rPr>
          <w:rFonts w:cs="Times New Roman"/>
          <w:kern w:val="0"/>
        </w:rPr>
      </w:pPr>
      <w:r>
        <w:rPr>
          <w:rFonts w:cs="Times New Roman"/>
          <w:kern w:val="0"/>
        </w:rPr>
        <w:t>⑤移动床生物膜反应器（MBBR）：吸收了传统流化床和生物接触氧化法两种工艺的优点，具有良好的脱氮除磷效果，污水连续经过MBBR反应器内的悬浮填料并逐渐在填料内外表面形成生物膜，通过生物膜上的微生物作用，使污水得到净化，具有污泥负荷高、占地面积小、出水水质好等特征。</w:t>
      </w:r>
    </w:p>
    <w:p>
      <w:pPr>
        <w:ind w:firstLine="482"/>
        <w:rPr>
          <w:rFonts w:cs="Times New Roman"/>
          <w:b/>
          <w:kern w:val="0"/>
        </w:rPr>
      </w:pPr>
      <w:r>
        <w:rPr>
          <w:rFonts w:cs="Times New Roman"/>
          <w:b/>
          <w:kern w:val="0"/>
        </w:rPr>
        <w:t>3、生态处理</w:t>
      </w:r>
    </w:p>
    <w:p>
      <w:pPr>
        <w:ind w:firstLine="480"/>
        <w:rPr>
          <w:rFonts w:cs="Times New Roman"/>
          <w:kern w:val="0"/>
        </w:rPr>
      </w:pPr>
      <w:r>
        <w:rPr>
          <w:rFonts w:cs="Times New Roman"/>
          <w:kern w:val="0"/>
        </w:rPr>
        <w:t>生态处理工艺能够很好地结合农村地区的自然地理条件，如当地的废塘、滩涂、废弃的土地，因而基建投资低；运行过程无需投加药剂，运行费低；污泥产量少，适当处理还能够达到农业回用标准，减少了2次污染；工艺运行相对稳定，抗冲击负荷能力强，能够使污水稳定达标排放，出水可以直接回用于农田灌溉或农村杂用水。工艺主要有人工湿地、土地处理、稳定塘。</w:t>
      </w:r>
    </w:p>
    <w:p>
      <w:pPr>
        <w:ind w:firstLine="480" w:firstLineChars="0"/>
        <w:rPr>
          <w:rFonts w:cs="Times New Roman"/>
        </w:rPr>
      </w:pPr>
      <w:r>
        <w:rPr>
          <w:rFonts w:cs="Times New Roman"/>
          <w:kern w:val="0"/>
        </w:rPr>
        <w:t>①人工湿地。</w:t>
      </w:r>
      <w:r>
        <w:rPr>
          <w:rFonts w:cs="Times New Roman"/>
        </w:rPr>
        <w:t>人工湿地技术是模仿天然湿地生态自净效应的一类污水处理工程净化技术，将污水有控制地投配到土壤-植物-微生物构成的复合系统中，污水在该系统内沿一定方向流动过程中，在土壤和植物联合作用下使污水得到净化处理。</w:t>
      </w:r>
    </w:p>
    <w:p>
      <w:pPr>
        <w:ind w:firstLine="480" w:firstLineChars="0"/>
        <w:rPr>
          <w:rFonts w:cs="Times New Roman"/>
          <w:kern w:val="0"/>
        </w:rPr>
      </w:pPr>
      <w:r>
        <w:rPr>
          <w:rFonts w:cs="Times New Roman"/>
        </w:rPr>
        <w:t>人工湿地主要有表面流人工湿地、潜流人工湿地和垂直流人工湿地。表流人工湿地建造费用较省，但占地面积大于潜流和垂直流人工湿地，且冬季表面易结冰，夏季易繁殖蚊虫，并有臭味；水平潜流人工湿地水流在地表以下流动，具有保温性较好、处理效果受气候影响小、卫生条件较好的特点；垂直潜流人工湿地的污水水流方向和床区呈垂直方向，其水流状况综合了表面流和水平潜流人工湿地的特点，污水被投配到床区表面后，淹没整个表面，随后逐步垂直渗流到底部，由底部的集水系统收集后排放，同表面流相比，垂直潜流湿地的氧传递速率较高、净化效率高、土地需求相对较小。综合考虑保德县的气候特点、经济条件、建设费用、维护管理技术要求等，宜优先采用潜流人工湿地或复合型人工湿地。</w:t>
      </w:r>
    </w:p>
    <w:p>
      <w:pPr>
        <w:ind w:firstLine="480"/>
        <w:rPr>
          <w:rFonts w:cs="Times New Roman"/>
          <w:kern w:val="0"/>
        </w:rPr>
      </w:pPr>
      <w:r>
        <w:rPr>
          <w:rFonts w:cs="Times New Roman"/>
          <w:kern w:val="0"/>
        </w:rPr>
        <w:t>②土壤渗滤。土壤渗滤是利用土壤渗滤性能和土壤表面植物处理污水的土地处理工艺类型。污水经过沉淀、厌氧等预处理后，有控制地通过布水分流入各土壤渗滤管中，管中流出的污水均匀地向土壤厌氧滤层渗滤，再通过表面张力作用上升，越过厌氧滤层出口堰后，通过虹吸现象连续地向上层好氧滤层渗透。污水在渗滤过程中一部分被土壤介质截获，一部分被植物吸收，一部分被蒸发，通过土壤-微生物-植物系统的生物氧化、硝化、反硝化、转化、降解、过滤、沉淀、氧化还原等一系列综合作用使污水达到治理利用要求。土地渗滤根据污水的投配方式及处理过程的不同，可以分为慢速渗滤、快速渗滤、地表漫流和地下渗滤四种类型。土地渗滤根据污水的投配方式及处理过程的不同，可以分为慢速渗滤、快速渗滤、地表漫流和地下渗滤四种类型。地下渗滤是将污水投配到距地表一定距离、有良好渗透性的土层中，利用土毛细管浸润和渗透作用，使污水向四周扩散，最突出的优点是所有处理装置均位于地下，不影响地表景观，对周围环境的不良影响小，且更适宜农村生活污水治理。</w:t>
      </w:r>
    </w:p>
    <w:p>
      <w:pPr>
        <w:pStyle w:val="8"/>
        <w:rPr>
          <w:rFonts w:ascii="Times New Roman" w:hAnsi="Times New Roman" w:cs="Times New Roman"/>
        </w:rPr>
      </w:pPr>
      <w:r>
        <w:rPr>
          <w:rFonts w:ascii="Times New Roman" w:hAnsi="Times New Roman" w:cs="Times New Roman"/>
        </w:rPr>
        <w:t>5.4.2 集中处理工艺</w:t>
      </w:r>
    </w:p>
    <w:p>
      <w:pPr>
        <w:ind w:firstLine="480"/>
        <w:rPr>
          <w:rFonts w:cs="Times New Roman"/>
          <w:kern w:val="0"/>
        </w:rPr>
      </w:pPr>
      <w:r>
        <w:rPr>
          <w:rFonts w:cs="Times New Roman"/>
          <w:kern w:val="0"/>
        </w:rPr>
        <w:t>根据受纳水体功能要求，结合农村地区经济状况、基础设施、自然环境条件完备情况和排水去向等，选择合适的处理方式。</w:t>
      </w:r>
    </w:p>
    <w:p>
      <w:pPr>
        <w:pStyle w:val="9"/>
      </w:pPr>
      <w:r>
        <w:t>5.4.2.1 工艺比选</w:t>
      </w:r>
    </w:p>
    <w:p>
      <w:pPr>
        <w:ind w:firstLine="482"/>
        <w:rPr>
          <w:rFonts w:cs="Times New Roman"/>
          <w:b/>
          <w:kern w:val="0"/>
        </w:rPr>
      </w:pPr>
      <w:r>
        <w:rPr>
          <w:rFonts w:cs="Times New Roman"/>
          <w:b/>
          <w:kern w:val="0"/>
        </w:rPr>
        <w:t>1、出水排水河流，水质需达到DB14/726二级标准</w:t>
      </w:r>
    </w:p>
    <w:p>
      <w:pPr>
        <w:ind w:firstLine="480"/>
        <w:rPr>
          <w:rFonts w:cs="Times New Roman"/>
          <w:kern w:val="0"/>
        </w:rPr>
      </w:pPr>
      <w:r>
        <w:rPr>
          <w:rFonts w:cs="Times New Roman"/>
          <w:kern w:val="0"/>
        </w:rPr>
        <w:t>根据农村生活污水处理设施规模和排水去向，新建污水处理设施出水执行DB 14/726二级标准，</w:t>
      </w:r>
      <w:r>
        <w:rPr>
          <w:rFonts w:cs="Times New Roman"/>
        </w:rPr>
        <w:t>控制项目包括pH、悬浮物、化学需氧量、氨氮、总氮。为</w:t>
      </w:r>
      <w:r>
        <w:rPr>
          <w:rFonts w:cs="Times New Roman"/>
          <w:kern w:val="0"/>
        </w:rPr>
        <w:t>达到DB 14/726二级标准要求，COD≤60mg/L，SS≤30mg/L</w:t>
      </w:r>
      <w:r>
        <w:rPr>
          <w:rFonts w:cs="Times New Roman"/>
        </w:rPr>
        <w:t>，NH</w:t>
      </w:r>
      <w:r>
        <w:rPr>
          <w:rFonts w:cs="Times New Roman"/>
          <w:vertAlign w:val="subscript"/>
        </w:rPr>
        <w:t>3</w:t>
      </w:r>
      <w:r>
        <w:rPr>
          <w:rFonts w:cs="Times New Roman"/>
        </w:rPr>
        <w:t>-N</w:t>
      </w:r>
      <w:r>
        <w:rPr>
          <w:rFonts w:cs="Times New Roman"/>
          <w:kern w:val="0"/>
        </w:rPr>
        <w:t>≤8（15）mg/L，TN≤30mg/L</w:t>
      </w:r>
      <w:r>
        <w:rPr>
          <w:rFonts w:cs="Times New Roman"/>
        </w:rPr>
        <w:t>，COD、氨氮的去除率需达到为80%以上，</w:t>
      </w:r>
      <w:r>
        <w:rPr>
          <w:rFonts w:cs="Times New Roman"/>
          <w:kern w:val="0"/>
        </w:rPr>
        <w:t>可采用的农村生活污水处理工艺包括生物接触氧化法+人工湿地、</w:t>
      </w:r>
      <w:r>
        <w:rPr>
          <w:rFonts w:cs="Times New Roman"/>
        </w:rPr>
        <w:t>生物接触氧化法</w:t>
      </w:r>
      <w:r>
        <w:rPr>
          <w:rFonts w:cs="Times New Roman"/>
          <w:kern w:val="0"/>
        </w:rPr>
        <w:t>、移动床生物膜反应器、生物滤池等。</w:t>
      </w:r>
    </w:p>
    <w:p>
      <w:pPr>
        <w:ind w:firstLine="480"/>
        <w:rPr>
          <w:rFonts w:cs="Times New Roman"/>
          <w:kern w:val="0"/>
        </w:rPr>
      </w:pPr>
      <w:r>
        <w:rPr>
          <w:rFonts w:cs="Times New Roman"/>
          <w:kern w:val="0"/>
        </w:rPr>
        <w:t>（1）生物接触氧化法+人工湿地</w:t>
      </w:r>
    </w:p>
    <w:p>
      <w:pPr>
        <w:ind w:firstLine="480"/>
        <w:rPr>
          <w:rFonts w:cs="Times New Roman"/>
        </w:rPr>
      </w:pPr>
      <w:r>
        <w:rPr>
          <w:rFonts w:cs="Times New Roman"/>
        </w:rPr>
        <w:t>工艺流程见图5-7。预处理设施为格栅、调节沉淀池，保证接触氧化池进水SS浓度不高于100mg/L，以免造成系统堵塞。接触氧化池好氧区的DO浓度宜控制在2.0～3.5mg/L，可采用鼓风曝气或在丘陵、山地等地区，利用地形高差，采用跌水曝气。人工湿地作为深度处理设施，可选择潜流人工湿地。</w:t>
      </w:r>
    </w:p>
    <w:p>
      <w:pPr>
        <w:ind w:firstLine="480"/>
        <w:rPr>
          <w:rFonts w:cs="Times New Roman"/>
        </w:rPr>
      </w:pPr>
      <w:r>
        <w:rPr>
          <w:rFonts w:cs="Times New Roman"/>
        </w:rPr>
        <w:t>生活污水经污水管道输送至格栅，通过格栅去除污水中较大的悬浮物，然后进入调节沉淀池，进行水质水量调节，并去除悬浮颗粒物。之后污水通过提升泵按照设定的流量与提升时间提升至接触氧化段进行生化处理。污水首先进入生化段的缺氧池，与好氧池回流的硝化液混合后在缺氧池发生反硝化脱氮，同时，一些分子量较大的难降解的有机污染物质在厌氧微生物与兼氧微生物的作用下降解为分子量较小的易氧化有机物质；污水进一步自流入好氧池，在好氧池的好氧微生物作用下进一步吸附、分解、吸收污染物质，同时，对污水中氨氮进行有效的硝化作用。污水经过一系列的厌氧、兼氧与好氧反应后，在沉淀池中进行充分的泥水分离，进一步去除污水的悬浮物质。污水经过上述物理与生物处理后进入人工湿地，通过人工湿地的人工介质、植物、微生物的物理、化学、生物三重协同作用，包括吸附、滞留、过滤、氧化还原、沉淀、微生物分解、转化、植物遮蔽、残留物积累、蒸腾水分和养分吸收及各类生物的作用，进一步降低污水中的污染物质，使出水稳定达标。</w:t>
      </w:r>
    </w:p>
    <w:p>
      <w:pPr>
        <w:pStyle w:val="64"/>
        <w:ind w:firstLine="360"/>
        <w:rPr>
          <w:rFonts w:cs="Times New Roman"/>
          <w:kern w:val="0"/>
        </w:rPr>
      </w:pPr>
      <w:r>
        <w:rPr>
          <w:rFonts w:cs="Times New Roman"/>
        </w:rPr>
        <w:drawing>
          <wp:inline distT="0" distB="0" distL="0" distR="0">
            <wp:extent cx="4946015" cy="556895"/>
            <wp:effectExtent l="0" t="0" r="6985"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4946015" cy="556895"/>
                    </a:xfrm>
                    <a:prstGeom prst="rect">
                      <a:avLst/>
                    </a:prstGeom>
                    <a:noFill/>
                    <a:ln>
                      <a:noFill/>
                    </a:ln>
                  </pic:spPr>
                </pic:pic>
              </a:graphicData>
            </a:graphic>
          </wp:inline>
        </w:drawing>
      </w:r>
    </w:p>
    <w:p>
      <w:pPr>
        <w:ind w:firstLine="0" w:firstLineChars="0"/>
        <w:jc w:val="center"/>
        <w:rPr>
          <w:rFonts w:eastAsia="黑体" w:cs="Times New Roman"/>
          <w:sz w:val="21"/>
        </w:rPr>
      </w:pPr>
      <w:r>
        <w:rPr>
          <w:rFonts w:eastAsia="黑体" w:cs="Times New Roman"/>
          <w:sz w:val="21"/>
        </w:rPr>
        <w:t>图5-7  生物接触氧化法+人工湿地处理工艺流程图</w:t>
      </w:r>
    </w:p>
    <w:p>
      <w:pPr>
        <w:ind w:firstLine="480"/>
        <w:rPr>
          <w:rFonts w:cs="Times New Roman"/>
        </w:rPr>
      </w:pPr>
      <w:r>
        <w:rPr>
          <w:rFonts w:cs="Times New Roman"/>
          <w:kern w:val="0"/>
        </w:rPr>
        <w:t>（2）生物接触氧化法</w:t>
      </w:r>
    </w:p>
    <w:p>
      <w:pPr>
        <w:ind w:firstLine="480"/>
        <w:rPr>
          <w:rFonts w:cs="Times New Roman"/>
        </w:rPr>
      </w:pPr>
      <w:r>
        <mc:AlternateContent>
          <mc:Choice Requires="wps">
            <w:drawing>
              <wp:anchor distT="0" distB="0" distL="114300" distR="114300" simplePos="0" relativeHeight="251662336" behindDoc="0" locked="0" layoutInCell="1" allowOverlap="1">
                <wp:simplePos x="0" y="0"/>
                <wp:positionH relativeFrom="column">
                  <wp:posOffset>4591685</wp:posOffset>
                </wp:positionH>
                <wp:positionV relativeFrom="paragraph">
                  <wp:posOffset>2124710</wp:posOffset>
                </wp:positionV>
                <wp:extent cx="563880" cy="381635"/>
                <wp:effectExtent l="0" t="0" r="0" b="0"/>
                <wp:wrapNone/>
                <wp:docPr id="65" name="Text Box 14"/>
                <wp:cNvGraphicFramePr/>
                <a:graphic xmlns:a="http://schemas.openxmlformats.org/drawingml/2006/main">
                  <a:graphicData uri="http://schemas.microsoft.com/office/word/2010/wordprocessingShape">
                    <wps:wsp>
                      <wps:cNvSpPr txBox="1"/>
                      <wps:spPr>
                        <a:xfrm>
                          <a:off x="5502910" y="7976870"/>
                          <a:ext cx="563880" cy="381635"/>
                        </a:xfrm>
                        <a:prstGeom prst="rect">
                          <a:avLst/>
                        </a:prstGeom>
                        <a:noFill/>
                        <a:ln>
                          <a:noFill/>
                        </a:ln>
                        <a:effectLst/>
                      </wps:spPr>
                      <wps:txbx>
                        <w:txbxContent>
                          <w:p>
                            <w:pPr>
                              <w:spacing w:line="240" w:lineRule="auto"/>
                              <w:ind w:firstLine="0" w:firstLineChars="0"/>
                              <w:jc w:val="center"/>
                              <w:rPr>
                                <w:sz w:val="21"/>
                                <w:szCs w:val="21"/>
                              </w:rPr>
                            </w:pPr>
                            <w:r>
                              <w:rPr>
                                <w:rFonts w:hint="eastAsia"/>
                                <w:sz w:val="21"/>
                                <w:szCs w:val="21"/>
                              </w:rPr>
                              <w:t>出水</w:t>
                            </w:r>
                          </w:p>
                        </w:txbxContent>
                      </wps:txbx>
                      <wps:bodyPr vert="horz" anchor="t" upright="1"/>
                    </wps:wsp>
                  </a:graphicData>
                </a:graphic>
              </wp:anchor>
            </w:drawing>
          </mc:Choice>
          <mc:Fallback>
            <w:pict>
              <v:shape id="Text Box 14" o:spid="_x0000_s1026" o:spt="202" type="#_x0000_t202" style="position:absolute;left:0pt;margin-left:361.55pt;margin-top:167.3pt;height:30.05pt;width:44.4pt;z-index:251662336;mso-width-relative:page;mso-height-relative:page;" filled="f" stroked="f" coordsize="21600,21600" o:gfxdata="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GkN4J9gAAAALAQAADwAAAAAAAAABACAAAAAiAAAAZHJzL2Rvd25yZXYueG1sUEsB&#10;AhQAFAAAAAgAh07iQBrZGu+8AQAAfwMAAA4AAAAAAAAAAQAgAAAAJwEAAGRycy9lMm9Eb2MueG1s&#10;UEsFBgAAAAAGAAYAWQEAAFUFAAAAAA==&#10;">
                <v:fill on="f" focussize="0,0"/>
                <v:stroke on="f"/>
                <v:imagedata o:title=""/>
                <o:lock v:ext="edit" aspectratio="f"/>
                <v:textbox>
                  <w:txbxContent>
                    <w:p>
                      <w:pPr>
                        <w:spacing w:line="240" w:lineRule="auto"/>
                        <w:ind w:firstLine="0" w:firstLineChars="0"/>
                        <w:jc w:val="center"/>
                        <w:rPr>
                          <w:sz w:val="21"/>
                          <w:szCs w:val="21"/>
                        </w:rPr>
                      </w:pPr>
                      <w:r>
                        <w:rPr>
                          <w:rFonts w:hint="eastAsia"/>
                          <w:sz w:val="21"/>
                          <w:szCs w:val="21"/>
                        </w:rPr>
                        <w:t>出水</w:t>
                      </w:r>
                    </w:p>
                  </w:txbxContent>
                </v:textbox>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528320</wp:posOffset>
                </wp:positionH>
                <wp:positionV relativeFrom="paragraph">
                  <wp:posOffset>2075815</wp:posOffset>
                </wp:positionV>
                <wp:extent cx="659765" cy="269240"/>
                <wp:effectExtent l="0" t="0" r="0" b="0"/>
                <wp:wrapNone/>
                <wp:docPr id="64" name="Text Box 13"/>
                <wp:cNvGraphicFramePr/>
                <a:graphic xmlns:a="http://schemas.openxmlformats.org/drawingml/2006/main">
                  <a:graphicData uri="http://schemas.microsoft.com/office/word/2010/wordprocessingShape">
                    <wps:wsp>
                      <wps:cNvSpPr txBox="1"/>
                      <wps:spPr>
                        <a:xfrm>
                          <a:off x="1500505" y="7976870"/>
                          <a:ext cx="659765" cy="269240"/>
                        </a:xfrm>
                        <a:prstGeom prst="rect">
                          <a:avLst/>
                        </a:prstGeom>
                        <a:noFill/>
                        <a:ln>
                          <a:noFill/>
                        </a:ln>
                        <a:effectLst/>
                      </wps:spPr>
                      <wps:txbx>
                        <w:txbxContent>
                          <w:p>
                            <w:pPr>
                              <w:spacing w:line="240" w:lineRule="auto"/>
                              <w:ind w:firstLine="0" w:firstLineChars="0"/>
                              <w:jc w:val="center"/>
                              <w:rPr>
                                <w:szCs w:val="21"/>
                              </w:rPr>
                            </w:pPr>
                            <w:r>
                              <w:rPr>
                                <w:rFonts w:hint="eastAsia"/>
                                <w:sz w:val="21"/>
                                <w:szCs w:val="21"/>
                              </w:rPr>
                              <w:t>进水</w:t>
                            </w:r>
                          </w:p>
                        </w:txbxContent>
                      </wps:txbx>
                      <wps:bodyPr vert="horz" anchor="t" upright="1"/>
                    </wps:wsp>
                  </a:graphicData>
                </a:graphic>
              </wp:anchor>
            </w:drawing>
          </mc:Choice>
          <mc:Fallback>
            <w:pict>
              <v:shape id="Text Box 13" o:spid="_x0000_s1026" o:spt="202" type="#_x0000_t202" style="position:absolute;left:0pt;margin-left:41.6pt;margin-top:163.45pt;height:21.2pt;width:51.95pt;z-index:251661312;mso-width-relative:page;mso-height-relative:page;" filled="f" stroked="f" coordsize="21600,21600" o:gfxdata="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VCsKW9gAAAAKAQAADwAAAAAAAAABACAAAAAiAAAAZHJzL2Rvd25yZXYueG1sUEsB&#10;AhQAFAAAAAgAh07iQIcV3pS8AQAAfwMAAA4AAAAAAAAAAQAgAAAAJwEAAGRycy9lMm9Eb2MueG1s&#10;UEsFBgAAAAAGAAYAWQEAAFUFAAAAAA==&#10;">
                <v:fill on="f" focussize="0,0"/>
                <v:stroke on="f"/>
                <v:imagedata o:title=""/>
                <o:lock v:ext="edit" aspectratio="f"/>
                <v:textbox>
                  <w:txbxContent>
                    <w:p>
                      <w:pPr>
                        <w:spacing w:line="240" w:lineRule="auto"/>
                        <w:ind w:firstLine="0" w:firstLineChars="0"/>
                        <w:jc w:val="center"/>
                        <w:rPr>
                          <w:szCs w:val="21"/>
                        </w:rPr>
                      </w:pPr>
                      <w:r>
                        <w:rPr>
                          <w:rFonts w:hint="eastAsia"/>
                          <w:sz w:val="21"/>
                          <w:szCs w:val="21"/>
                        </w:rPr>
                        <w:t>进水</w:t>
                      </w:r>
                    </w:p>
                  </w:txbxContent>
                </v:textbox>
              </v:shape>
            </w:pict>
          </mc:Fallback>
        </mc:AlternateContent>
      </w:r>
      <w:r>
        <w:rPr>
          <w:rFonts w:cs="Times New Roman"/>
        </w:rPr>
        <w:t>生物接触氧化工艺是介于活性污泥和生物滤池二者之间的污水生物处理技术，兼有活性污泥法和生物膜法的特点。该系统由浸没于污水中的填料、填料表面的生物膜、曝气系统和池体构成。在有氧条件下，污水与固着在填料表面的生物膜充分接触，通过生物降解作用去除污水中的有机物、营养盐等，使污水得到净化。工艺流程如图5-7。预处理设施为格栅和调节调节池，保证接触氧化池进水SS浓度不高于100mg/L，以免造成系统堵塞。接触氧化池好氧区的DO浓度宜控制在2.0～3.5mg/L，可采用鼓风曝气或在丘陵、山地等地区，利用地形高差，采用跌水曝气。</w:t>
      </w:r>
    </w:p>
    <w:p>
      <w:pPr>
        <w:spacing w:line="240" w:lineRule="auto"/>
        <w:ind w:firstLine="480" w:firstLineChars="0"/>
        <w:rPr>
          <w:rFonts w:cs="Times New Roman"/>
          <w:sz w:val="21"/>
          <w:szCs w:val="24"/>
        </w:rPr>
      </w:pPr>
      <w:r>
        <mc:AlternateContent>
          <mc:Choice Requires="wps">
            <w:drawing>
              <wp:anchor distT="0" distB="0" distL="114300" distR="114300" simplePos="0" relativeHeight="251659264" behindDoc="0" locked="0" layoutInCell="1" allowOverlap="1">
                <wp:simplePos x="0" y="0"/>
                <wp:positionH relativeFrom="column">
                  <wp:posOffset>2582545</wp:posOffset>
                </wp:positionH>
                <wp:positionV relativeFrom="paragraph">
                  <wp:posOffset>49530</wp:posOffset>
                </wp:positionV>
                <wp:extent cx="1830070" cy="355600"/>
                <wp:effectExtent l="5080" t="4445" r="8890" b="5715"/>
                <wp:wrapNone/>
                <wp:docPr id="60" name="Text Box 11"/>
                <wp:cNvGraphicFramePr/>
                <a:graphic xmlns:a="http://schemas.openxmlformats.org/drawingml/2006/main">
                  <a:graphicData uri="http://schemas.microsoft.com/office/word/2010/wordprocessingShape">
                    <wps:wsp>
                      <wps:cNvSpPr txBox="1"/>
                      <wps:spPr>
                        <a:xfrm>
                          <a:off x="3628390" y="7976870"/>
                          <a:ext cx="1830070" cy="3556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auto"/>
                              <w:ind w:firstLine="0" w:firstLineChars="0"/>
                              <w:jc w:val="center"/>
                              <w:rPr>
                                <w:sz w:val="21"/>
                                <w:szCs w:val="21"/>
                              </w:rPr>
                            </w:pPr>
                            <w:r>
                              <w:rPr>
                                <w:rFonts w:hint="eastAsia"/>
                                <w:sz w:val="21"/>
                                <w:szCs w:val="21"/>
                              </w:rPr>
                              <w:t>生物接触氧化法</w:t>
                            </w:r>
                          </w:p>
                        </w:txbxContent>
                      </wps:txbx>
                      <wps:bodyPr vert="horz" anchor="t" upright="1"/>
                    </wps:wsp>
                  </a:graphicData>
                </a:graphic>
              </wp:anchor>
            </w:drawing>
          </mc:Choice>
          <mc:Fallback>
            <w:pict>
              <v:shape id="Text Box 11" o:spid="_x0000_s1026" o:spt="202" type="#_x0000_t202" style="position:absolute;left:0pt;margin-left:203.35pt;margin-top:3.9pt;height:28pt;width:144.1pt;z-index:251659264;mso-width-relative:page;mso-height-relative:page;" fillcolor="#FFFFFF" filled="t" stroked="t" coordsize="21600,21600" o:gfxdata="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BjMLkjXAAAA&#10;CAEAAA8AAAAAAAAAAQAgAAAAIgAAAGRycy9kb3ducmV2LnhtbFBLAQIUABQAAAAIAIdO4kClGbLa&#10;HgIAAGgEAAAOAAAAAAAAAAEAIAAAACYBAABkcnMvZTJvRG9jLnhtbFBLBQYAAAAABgAGAFkBAAC2&#10;BQAAAAA=&#10;">
                <v:fill on="t" focussize="0,0"/>
                <v:stroke color="#000000" joinstyle="miter"/>
                <v:imagedata o:title=""/>
                <o:lock v:ext="edit" aspectratio="f"/>
                <v:textbox>
                  <w:txbxContent>
                    <w:p>
                      <w:pPr>
                        <w:spacing w:line="240" w:lineRule="auto"/>
                        <w:ind w:firstLine="0" w:firstLineChars="0"/>
                        <w:jc w:val="center"/>
                        <w:rPr>
                          <w:sz w:val="21"/>
                          <w:szCs w:val="21"/>
                        </w:rPr>
                      </w:pPr>
                      <w:r>
                        <w:rPr>
                          <w:rFonts w:hint="eastAsia"/>
                          <w:sz w:val="21"/>
                          <w:szCs w:val="21"/>
                        </w:rPr>
                        <w:t>生物接触氧化法</w:t>
                      </w:r>
                    </w:p>
                  </w:txbxContent>
                </v:textbox>
              </v:shape>
            </w:pict>
          </mc:Fallback>
        </mc:AlternateContent>
      </w:r>
      <w:r>
        <mc:AlternateContent>
          <mc:Choice Requires="wps">
            <w:drawing>
              <wp:anchor distT="0" distB="0" distL="114300" distR="114300" simplePos="0" relativeHeight="251664384" behindDoc="0" locked="0" layoutInCell="1" allowOverlap="1">
                <wp:simplePos x="0" y="0"/>
                <wp:positionH relativeFrom="column">
                  <wp:posOffset>1310005</wp:posOffset>
                </wp:positionH>
                <wp:positionV relativeFrom="paragraph">
                  <wp:posOffset>56515</wp:posOffset>
                </wp:positionV>
                <wp:extent cx="626110" cy="321310"/>
                <wp:effectExtent l="4445" t="4445" r="9525" b="9525"/>
                <wp:wrapNone/>
                <wp:docPr id="68" name="Text Box 16"/>
                <wp:cNvGraphicFramePr/>
                <a:graphic xmlns:a="http://schemas.openxmlformats.org/drawingml/2006/main">
                  <a:graphicData uri="http://schemas.microsoft.com/office/word/2010/wordprocessingShape">
                    <wps:wsp>
                      <wps:cNvSpPr txBox="1"/>
                      <wps:spPr>
                        <a:xfrm>
                          <a:off x="2291080" y="7976870"/>
                          <a:ext cx="626110" cy="32131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auto"/>
                              <w:ind w:firstLine="0" w:firstLineChars="0"/>
                              <w:jc w:val="center"/>
                              <w:rPr>
                                <w:sz w:val="21"/>
                                <w:szCs w:val="21"/>
                              </w:rPr>
                            </w:pPr>
                            <w:r>
                              <w:rPr>
                                <w:rFonts w:hint="eastAsia"/>
                                <w:sz w:val="21"/>
                                <w:szCs w:val="21"/>
                              </w:rPr>
                              <w:t>预处理</w:t>
                            </w:r>
                          </w:p>
                        </w:txbxContent>
                      </wps:txbx>
                      <wps:bodyPr vert="horz" anchor="t" upright="1"/>
                    </wps:wsp>
                  </a:graphicData>
                </a:graphic>
              </wp:anchor>
            </w:drawing>
          </mc:Choice>
          <mc:Fallback>
            <w:pict>
              <v:shape id="Text Box 16" o:spid="_x0000_s1026" o:spt="202" type="#_x0000_t202" style="position:absolute;left:0pt;margin-left:103.15pt;margin-top:4.45pt;height:25.3pt;width:49.3pt;z-index:251664384;mso-width-relative:page;mso-height-relative:page;" fillcolor="#FFFFFF" filled="t" stroked="t" coordsize="21600,21600" o:gfxdata="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mnygy1wAAAAgB&#10;AAAPAAAAAAAAAAEAIAAAACIAAABkcnMvZG93bnJldi54bWxQSwECFAAUAAAACACHTuJA96VMkxwC&#10;AABnBAAADgAAAAAAAAABACAAAAAmAQAAZHJzL2Uyb0RvYy54bWxQSwUGAAAAAAYABgBZAQAAtAUA&#10;AAAA&#10;">
                <v:fill on="t" focussize="0,0"/>
                <v:stroke color="#000000" joinstyle="miter"/>
                <v:imagedata o:title=""/>
                <o:lock v:ext="edit" aspectratio="f"/>
                <v:textbox>
                  <w:txbxContent>
                    <w:p>
                      <w:pPr>
                        <w:spacing w:line="240" w:lineRule="auto"/>
                        <w:ind w:firstLine="0" w:firstLineChars="0"/>
                        <w:jc w:val="center"/>
                        <w:rPr>
                          <w:sz w:val="21"/>
                          <w:szCs w:val="21"/>
                        </w:rPr>
                      </w:pPr>
                      <w:r>
                        <w:rPr>
                          <w:rFonts w:hint="eastAsia"/>
                          <w:sz w:val="21"/>
                          <w:szCs w:val="21"/>
                        </w:rPr>
                        <w:t>预处理</w:t>
                      </w:r>
                    </w:p>
                  </w:txbxContent>
                </v:textbox>
              </v:shape>
            </w:pict>
          </mc:Fallback>
        </mc:AlternateContent>
      </w:r>
    </w:p>
    <w:p>
      <w:pPr>
        <w:spacing w:line="240" w:lineRule="auto"/>
        <w:ind w:firstLine="480" w:firstLineChars="0"/>
        <w:rPr>
          <w:rFonts w:cs="Times New Roman"/>
          <w:sz w:val="21"/>
          <w:szCs w:val="24"/>
        </w:rPr>
      </w:pPr>
      <w:r>
        <mc:AlternateContent>
          <mc:Choice Requires="wps">
            <w:drawing>
              <wp:anchor distT="0" distB="0" distL="114300" distR="114300" simplePos="0" relativeHeight="251663360" behindDoc="0" locked="0" layoutInCell="1" allowOverlap="1">
                <wp:simplePos x="0" y="0"/>
                <wp:positionH relativeFrom="column">
                  <wp:posOffset>4417695</wp:posOffset>
                </wp:positionH>
                <wp:positionV relativeFrom="paragraph">
                  <wp:posOffset>42545</wp:posOffset>
                </wp:positionV>
                <wp:extent cx="972820" cy="0"/>
                <wp:effectExtent l="0" t="38100" r="2540" b="38100"/>
                <wp:wrapNone/>
                <wp:docPr id="66" name="Line 15"/>
                <wp:cNvGraphicFramePr/>
                <a:graphic xmlns:a="http://schemas.openxmlformats.org/drawingml/2006/main">
                  <a:graphicData uri="http://schemas.microsoft.com/office/word/2010/wordprocessingShape">
                    <wps:wsp>
                      <wps:cNvCnPr/>
                      <wps:spPr>
                        <a:xfrm>
                          <a:off x="5380990" y="7977505"/>
                          <a:ext cx="972820" cy="0"/>
                        </a:xfrm>
                        <a:prstGeom prst="line">
                          <a:avLst/>
                        </a:prstGeom>
                        <a:ln w="9525" cap="flat" cmpd="sng">
                          <a:solidFill>
                            <a:srgbClr val="000000"/>
                          </a:solidFill>
                          <a:prstDash val="solid"/>
                          <a:headEnd type="none" w="med" len="med"/>
                          <a:tailEnd type="stealth" w="med" len="lg"/>
                        </a:ln>
                        <a:effectLst/>
                      </wps:spPr>
                      <wps:bodyPr/>
                    </wps:wsp>
                  </a:graphicData>
                </a:graphic>
              </wp:anchor>
            </w:drawing>
          </mc:Choice>
          <mc:Fallback>
            <w:pict>
              <v:line id="Line 15" o:spid="_x0000_s1026" o:spt="20" style="position:absolute;left:0pt;margin-left:347.85pt;margin-top:3.35pt;height:0pt;width:76.6pt;z-index:251663360;mso-width-relative:page;mso-height-relative:page;" filled="f" stroked="t" coordsize="21600,21600" o:gfxdata="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w&#10;RMgm1QAAAAcBAAAPAAAAAAAAAAEAIAAAACIAAABkcnMvZG93bnJldi54bWxQSwECFAAUAAAACACH&#10;TuJAZGCzMu4BAADqAwAADgAAAAAAAAABACAAAAAkAQAAZHJzL2Uyb0RvYy54bWxQSwUGAAAAAAYA&#10;BgBZAQAAhAUAAAAA&#10;">
                <v:fill on="f" focussize="0,0"/>
                <v:stroke color="#000000" joinstyle="round" endarrow="classic" endarrowlength="long"/>
                <v:imagedata o:title=""/>
                <o:lock v:ext="edit" aspectratio="f"/>
              </v:lin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1963420</wp:posOffset>
                </wp:positionH>
                <wp:positionV relativeFrom="paragraph">
                  <wp:posOffset>13970</wp:posOffset>
                </wp:positionV>
                <wp:extent cx="607695" cy="0"/>
                <wp:effectExtent l="0" t="38100" r="1905" b="38100"/>
                <wp:wrapNone/>
                <wp:docPr id="70" name="Line 17"/>
                <wp:cNvGraphicFramePr/>
                <a:graphic xmlns:a="http://schemas.openxmlformats.org/drawingml/2006/main">
                  <a:graphicData uri="http://schemas.microsoft.com/office/word/2010/wordprocessingShape">
                    <wps:wsp>
                      <wps:cNvCnPr/>
                      <wps:spPr>
                        <a:xfrm>
                          <a:off x="3020695" y="7977505"/>
                          <a:ext cx="607695" cy="0"/>
                        </a:xfrm>
                        <a:prstGeom prst="line">
                          <a:avLst/>
                        </a:prstGeom>
                        <a:ln w="9525" cap="flat" cmpd="sng">
                          <a:solidFill>
                            <a:srgbClr val="000000"/>
                          </a:solidFill>
                          <a:prstDash val="solid"/>
                          <a:headEnd type="none" w="med" len="med"/>
                          <a:tailEnd type="stealth" w="med" len="lg"/>
                        </a:ln>
                        <a:effectLst/>
                      </wps:spPr>
                      <wps:bodyPr/>
                    </wps:wsp>
                  </a:graphicData>
                </a:graphic>
              </wp:anchor>
            </w:drawing>
          </mc:Choice>
          <mc:Fallback>
            <w:pict>
              <v:line id="Line 17" o:spid="_x0000_s1026" o:spt="20" style="position:absolute;left:0pt;margin-left:154.6pt;margin-top:1.1pt;height:0pt;width:47.85pt;z-index:251665408;mso-width-relative:page;mso-height-relative:page;" filled="f" stroked="t" coordsize="21600,21600" o:gfxdata="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SVNm&#10;T9UAAAAHAQAADwAAAAAAAAABACAAAAAiAAAAZHJzL2Rvd25yZXYueG1sUEsBAhQAFAAAAAgAh07i&#10;QMDIY0jsAQAA6gMAAA4AAAAAAAAAAQAgAAAAJAEAAGRycy9lMm9Eb2MueG1sUEsFBgAAAAAGAAYA&#10;WQEAAIIFAAAAAA==&#10;">
                <v:fill on="f" focussize="0,0"/>
                <v:stroke color="#000000" joinstyle="round" endarrow="classic" endarrowlength="long"/>
                <v:imagedata o:title=""/>
                <o:lock v:ext="edit" aspectratio="f"/>
              </v:line>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335915</wp:posOffset>
                </wp:positionH>
                <wp:positionV relativeFrom="paragraph">
                  <wp:posOffset>31750</wp:posOffset>
                </wp:positionV>
                <wp:extent cx="972820" cy="0"/>
                <wp:effectExtent l="0" t="38100" r="2540" b="38100"/>
                <wp:wrapNone/>
                <wp:docPr id="63" name="Line 12"/>
                <wp:cNvGraphicFramePr/>
                <a:graphic xmlns:a="http://schemas.openxmlformats.org/drawingml/2006/main">
                  <a:graphicData uri="http://schemas.microsoft.com/office/word/2010/wordprocessingShape">
                    <wps:wsp>
                      <wps:cNvCnPr/>
                      <wps:spPr>
                        <a:xfrm>
                          <a:off x="1308100" y="7977505"/>
                          <a:ext cx="972820" cy="0"/>
                        </a:xfrm>
                        <a:prstGeom prst="line">
                          <a:avLst/>
                        </a:prstGeom>
                        <a:ln w="9525" cap="flat" cmpd="sng">
                          <a:solidFill>
                            <a:srgbClr val="000000"/>
                          </a:solidFill>
                          <a:prstDash val="solid"/>
                          <a:headEnd type="none" w="med" len="med"/>
                          <a:tailEnd type="stealth" w="med" len="lg"/>
                        </a:ln>
                        <a:effectLst/>
                      </wps:spPr>
                      <wps:bodyPr/>
                    </wps:wsp>
                  </a:graphicData>
                </a:graphic>
              </wp:anchor>
            </w:drawing>
          </mc:Choice>
          <mc:Fallback>
            <w:pict>
              <v:line id="Line 12" o:spid="_x0000_s1026" o:spt="20" style="position:absolute;left:0pt;margin-left:26.45pt;margin-top:2.5pt;height:0pt;width:76.6pt;z-index:251660288;mso-width-relative:page;mso-height-relative:page;" filled="f" stroked="t" coordsize="21600,21600" o:gfxdata="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x&#10;kL3u1QAAAAYBAAAPAAAAAAAAAAEAIAAAACIAAABkcnMvZG93bnJldi54bWxQSwECFAAUAAAACACH&#10;TuJAOVjn9+4BAADqAwAADgAAAAAAAAABACAAAAAkAQAAZHJzL2Uyb0RvYy54bWxQSwUGAAAAAAYA&#10;BgBZAQAAhAUAAAAA&#10;">
                <v:fill on="f" focussize="0,0"/>
                <v:stroke color="#000000" joinstyle="round" endarrow="classic" endarrowlength="long"/>
                <v:imagedata o:title=""/>
                <o:lock v:ext="edit" aspectratio="f"/>
              </v:line>
            </w:pict>
          </mc:Fallback>
        </mc:AlternateContent>
      </w:r>
    </w:p>
    <w:p>
      <w:pPr>
        <w:spacing w:line="240" w:lineRule="auto"/>
        <w:ind w:firstLine="0" w:firstLineChars="0"/>
        <w:jc w:val="center"/>
        <w:rPr>
          <w:rFonts w:eastAsia="黑体" w:cs="Times New Roman"/>
          <w:sz w:val="21"/>
        </w:rPr>
      </w:pPr>
      <w:r>
        <w:rPr>
          <w:rFonts w:eastAsia="黑体" w:cs="Times New Roman"/>
          <w:sz w:val="21"/>
        </w:rPr>
        <w:t>图5-8  生物接触氧化法处理工艺流程图</w:t>
      </w:r>
    </w:p>
    <w:p>
      <w:pPr>
        <w:ind w:firstLine="480"/>
        <w:rPr>
          <w:rFonts w:cs="Times New Roman"/>
        </w:rPr>
      </w:pPr>
      <w:r>
        <w:rPr>
          <w:rFonts w:cs="Times New Roman"/>
        </w:rPr>
        <w:t>类型和结构：生物接触氧化池的构造主要有池体、填料和进水布气装置等组成。池体可为钢结构或钢筋混凝土结构。从填料上脱落的生物膜会有一部分沉积在池底，必要时，池底部可设置排泥和放空设施。生物接触氧化池填料要求对微生物无毒害、易挂膜、质轻、高强度、抗老化、比表面积大和孔隙率高。目前常采用的填料主要有聚氯乙烯塑料、聚丙烯塑料、环氧玻璃钢等做成的蜂窝状和波纹板状填料填料，纤维组合填料，立体弹性填料等。生物接触氧化池如图5-9。</w:t>
      </w:r>
    </w:p>
    <w:p>
      <w:pPr>
        <w:spacing w:line="240" w:lineRule="auto"/>
        <w:ind w:firstLine="480"/>
        <w:rPr>
          <w:rFonts w:cs="Times New Roman"/>
          <w:sz w:val="20"/>
        </w:rPr>
      </w:pPr>
      <w:r>
        <mc:AlternateContent>
          <mc:Choice Requires="wpg">
            <w:drawing>
              <wp:anchor distT="0" distB="0" distL="114300" distR="114300" simplePos="0" relativeHeight="251674624" behindDoc="0" locked="0" layoutInCell="1" allowOverlap="1">
                <wp:simplePos x="0" y="0"/>
                <wp:positionH relativeFrom="column">
                  <wp:posOffset>636905</wp:posOffset>
                </wp:positionH>
                <wp:positionV relativeFrom="paragraph">
                  <wp:posOffset>170815</wp:posOffset>
                </wp:positionV>
                <wp:extent cx="4044950" cy="2176145"/>
                <wp:effectExtent l="0" t="0" r="0" b="18415"/>
                <wp:wrapNone/>
                <wp:docPr id="113" name="Group 20"/>
                <wp:cNvGraphicFramePr/>
                <a:graphic xmlns:a="http://schemas.openxmlformats.org/drawingml/2006/main">
                  <a:graphicData uri="http://schemas.microsoft.com/office/word/2010/wordprocessingGroup">
                    <wpg:wgp>
                      <wpg:cNvGrpSpPr/>
                      <wpg:grpSpPr>
                        <a:xfrm>
                          <a:off x="0" y="0"/>
                          <a:ext cx="4044950" cy="2176145"/>
                          <a:chOff x="2607" y="130"/>
                          <a:chExt cx="6615" cy="4206"/>
                        </a:xfrm>
                      </wpg:grpSpPr>
                      <wps:wsp>
                        <wps:cNvPr id="6" name="Line 21"/>
                        <wps:cNvCnPr/>
                        <wps:spPr>
                          <a:xfrm>
                            <a:off x="4512" y="4180"/>
                            <a:ext cx="2880" cy="0"/>
                          </a:xfrm>
                          <a:prstGeom prst="line">
                            <a:avLst/>
                          </a:prstGeom>
                          <a:ln w="9525" cap="flat" cmpd="sng">
                            <a:solidFill>
                              <a:srgbClr val="000000"/>
                            </a:solidFill>
                            <a:prstDash val="solid"/>
                            <a:headEnd type="none" w="med" len="med"/>
                            <a:tailEnd type="none" w="med" len="med"/>
                          </a:ln>
                        </wps:spPr>
                        <wps:bodyPr upright="1"/>
                      </wps:wsp>
                      <wps:wsp>
                        <wps:cNvPr id="15" name="Line 22"/>
                        <wps:cNvCnPr/>
                        <wps:spPr>
                          <a:xfrm flipV="1">
                            <a:off x="7392" y="1216"/>
                            <a:ext cx="1" cy="2964"/>
                          </a:xfrm>
                          <a:prstGeom prst="line">
                            <a:avLst/>
                          </a:prstGeom>
                          <a:ln w="9525" cap="flat" cmpd="sng">
                            <a:solidFill>
                              <a:srgbClr val="000000"/>
                            </a:solidFill>
                            <a:prstDash val="solid"/>
                            <a:headEnd type="none" w="med" len="med"/>
                            <a:tailEnd type="none" w="med" len="med"/>
                          </a:ln>
                        </wps:spPr>
                        <wps:bodyPr upright="1"/>
                      </wps:wsp>
                      <wps:wsp>
                        <wps:cNvPr id="17" name="Line 23"/>
                        <wps:cNvCnPr/>
                        <wps:spPr>
                          <a:xfrm>
                            <a:off x="4512" y="1216"/>
                            <a:ext cx="1" cy="2964"/>
                          </a:xfrm>
                          <a:prstGeom prst="line">
                            <a:avLst/>
                          </a:prstGeom>
                          <a:ln w="9525" cap="flat" cmpd="sng">
                            <a:solidFill>
                              <a:srgbClr val="000000"/>
                            </a:solidFill>
                            <a:prstDash val="solid"/>
                            <a:headEnd type="none" w="med" len="med"/>
                            <a:tailEnd type="none" w="med" len="med"/>
                          </a:ln>
                        </wps:spPr>
                        <wps:bodyPr upright="1"/>
                      </wps:wsp>
                      <wpg:grpSp>
                        <wpg:cNvPr id="27" name="Group 24"/>
                        <wpg:cNvGrpSpPr/>
                        <wpg:grpSpPr>
                          <a:xfrm>
                            <a:off x="2607" y="3694"/>
                            <a:ext cx="1905" cy="624"/>
                            <a:chOff x="2607" y="3694"/>
                            <a:chExt cx="1905" cy="624"/>
                          </a:xfrm>
                        </wpg:grpSpPr>
                        <wpg:grpSp>
                          <wpg:cNvPr id="25" name="Group 25"/>
                          <wpg:cNvGrpSpPr/>
                          <wpg:grpSpPr>
                            <a:xfrm>
                              <a:off x="3432" y="4024"/>
                              <a:ext cx="1080" cy="1"/>
                              <a:chOff x="3432" y="4024"/>
                              <a:chExt cx="1080" cy="1"/>
                            </a:xfrm>
                          </wpg:grpSpPr>
                          <wps:wsp>
                            <wps:cNvPr id="18" name="Line 26"/>
                            <wps:cNvCnPr/>
                            <wps:spPr>
                              <a:xfrm flipH="1">
                                <a:off x="3432" y="4024"/>
                                <a:ext cx="1080" cy="0"/>
                              </a:xfrm>
                              <a:prstGeom prst="line">
                                <a:avLst/>
                              </a:prstGeom>
                              <a:ln w="9525" cap="flat" cmpd="sng">
                                <a:solidFill>
                                  <a:srgbClr val="000000"/>
                                </a:solidFill>
                                <a:prstDash val="solid"/>
                                <a:headEnd type="none" w="med" len="med"/>
                                <a:tailEnd type="none" w="med" len="med"/>
                              </a:ln>
                            </wps:spPr>
                            <wps:bodyPr upright="1"/>
                          </wps:wsp>
                          <wps:wsp>
                            <wps:cNvPr id="20" name="Line 27"/>
                            <wps:cNvCnPr/>
                            <wps:spPr>
                              <a:xfrm>
                                <a:off x="3702" y="4024"/>
                                <a:ext cx="540" cy="1"/>
                              </a:xfrm>
                              <a:prstGeom prst="line">
                                <a:avLst/>
                              </a:prstGeom>
                              <a:ln w="9525" cap="flat" cmpd="sng">
                                <a:solidFill>
                                  <a:srgbClr val="000000"/>
                                </a:solidFill>
                                <a:prstDash val="solid"/>
                                <a:headEnd type="none" w="med" len="med"/>
                                <a:tailEnd type="stealth" w="med" len="lg"/>
                              </a:ln>
                            </wps:spPr>
                            <wps:bodyPr upright="1"/>
                          </wps:wsp>
                        </wpg:grpSp>
                        <wps:wsp>
                          <wps:cNvPr id="26" name="Text Box 28"/>
                          <wps:cNvSpPr txBox="1"/>
                          <wps:spPr>
                            <a:xfrm>
                              <a:off x="2607" y="3694"/>
                              <a:ext cx="1080" cy="624"/>
                            </a:xfrm>
                            <a:prstGeom prst="rect">
                              <a:avLst/>
                            </a:prstGeom>
                            <a:noFill/>
                            <a:ln>
                              <a:noFill/>
                            </a:ln>
                          </wps:spPr>
                          <wps:txbx>
                            <w:txbxContent>
                              <w:p>
                                <w:pPr>
                                  <w:spacing w:line="240" w:lineRule="auto"/>
                                  <w:ind w:firstLine="0" w:firstLineChars="0"/>
                                  <w:rPr>
                                    <w:sz w:val="21"/>
                                  </w:rPr>
                                </w:pPr>
                                <w:r>
                                  <w:rPr>
                                    <w:rFonts w:hint="eastAsia"/>
                                    <w:sz w:val="21"/>
                                  </w:rPr>
                                  <w:t xml:space="preserve">进水 </w:t>
                                </w:r>
                              </w:p>
                            </w:txbxContent>
                          </wps:txbx>
                          <wps:bodyPr upright="1"/>
                        </wps:wsp>
                      </wpg:grpSp>
                      <wps:wsp>
                        <wps:cNvPr id="28" name="Line 29"/>
                        <wps:cNvCnPr/>
                        <wps:spPr>
                          <a:xfrm flipH="1">
                            <a:off x="3972" y="3712"/>
                            <a:ext cx="3420" cy="1"/>
                          </a:xfrm>
                          <a:prstGeom prst="line">
                            <a:avLst/>
                          </a:prstGeom>
                          <a:ln w="9525" cap="flat" cmpd="sng">
                            <a:solidFill>
                              <a:srgbClr val="000000"/>
                            </a:solidFill>
                            <a:prstDash val="solid"/>
                            <a:headEnd type="none" w="med" len="med"/>
                            <a:tailEnd type="none" w="med" len="med"/>
                          </a:ln>
                        </wps:spPr>
                        <wps:bodyPr upright="1"/>
                      </wps:wsp>
                      <wps:wsp>
                        <wps:cNvPr id="29" name="Line 30"/>
                        <wps:cNvCnPr/>
                        <wps:spPr>
                          <a:xfrm flipV="1">
                            <a:off x="3972" y="2308"/>
                            <a:ext cx="0" cy="1404"/>
                          </a:xfrm>
                          <a:prstGeom prst="line">
                            <a:avLst/>
                          </a:prstGeom>
                          <a:ln w="9525" cap="flat" cmpd="sng">
                            <a:solidFill>
                              <a:srgbClr val="000000"/>
                            </a:solidFill>
                            <a:prstDash val="solid"/>
                            <a:headEnd type="none" w="med" len="med"/>
                            <a:tailEnd type="none" w="med" len="med"/>
                          </a:ln>
                        </wps:spPr>
                        <wps:bodyPr upright="1"/>
                      </wps:wsp>
                      <wps:wsp>
                        <wps:cNvPr id="32" name="Line 31"/>
                        <wps:cNvCnPr/>
                        <wps:spPr>
                          <a:xfrm>
                            <a:off x="3972" y="2308"/>
                            <a:ext cx="0" cy="780"/>
                          </a:xfrm>
                          <a:prstGeom prst="line">
                            <a:avLst/>
                          </a:prstGeom>
                          <a:ln w="9525" cap="flat" cmpd="sng">
                            <a:solidFill>
                              <a:srgbClr val="000000"/>
                            </a:solidFill>
                            <a:prstDash val="solid"/>
                            <a:headEnd type="none" w="med" len="med"/>
                            <a:tailEnd type="stealth" w="med" len="lg"/>
                          </a:ln>
                        </wps:spPr>
                        <wps:bodyPr upright="1"/>
                      </wps:wsp>
                      <wpg:grpSp>
                        <wpg:cNvPr id="36" name="Group 32"/>
                        <wpg:cNvGrpSpPr/>
                        <wpg:grpSpPr>
                          <a:xfrm>
                            <a:off x="4980" y="3652"/>
                            <a:ext cx="114" cy="57"/>
                            <a:chOff x="4980" y="3652"/>
                            <a:chExt cx="114" cy="57"/>
                          </a:xfrm>
                        </wpg:grpSpPr>
                        <wps:wsp>
                          <wps:cNvPr id="33" name="Line 33"/>
                          <wps:cNvCnPr/>
                          <wps:spPr>
                            <a:xfrm flipH="1" flipV="1">
                              <a:off x="4980" y="3652"/>
                              <a:ext cx="57" cy="57"/>
                            </a:xfrm>
                            <a:prstGeom prst="line">
                              <a:avLst/>
                            </a:prstGeom>
                            <a:ln w="9525" cap="flat" cmpd="sng">
                              <a:solidFill>
                                <a:srgbClr val="000000"/>
                              </a:solidFill>
                              <a:prstDash val="solid"/>
                              <a:headEnd type="none" w="med" len="med"/>
                              <a:tailEnd type="none" w="med" len="med"/>
                            </a:ln>
                          </wps:spPr>
                          <wps:bodyPr upright="1"/>
                        </wps:wsp>
                        <wps:wsp>
                          <wps:cNvPr id="35" name="Line 34"/>
                          <wps:cNvCnPr/>
                          <wps:spPr>
                            <a:xfrm flipV="1">
                              <a:off x="5037" y="3652"/>
                              <a:ext cx="57" cy="57"/>
                            </a:xfrm>
                            <a:prstGeom prst="line">
                              <a:avLst/>
                            </a:prstGeom>
                            <a:ln w="9525" cap="flat" cmpd="sng">
                              <a:solidFill>
                                <a:srgbClr val="000000"/>
                              </a:solidFill>
                              <a:prstDash val="solid"/>
                              <a:headEnd type="none" w="med" len="med"/>
                              <a:tailEnd type="none" w="med" len="med"/>
                            </a:ln>
                          </wps:spPr>
                          <wps:bodyPr upright="1"/>
                        </wps:wsp>
                      </wpg:grpSp>
                      <wpg:grpSp>
                        <wpg:cNvPr id="39" name="Group 35"/>
                        <wpg:cNvGrpSpPr/>
                        <wpg:grpSpPr>
                          <a:xfrm>
                            <a:off x="5457" y="3652"/>
                            <a:ext cx="114" cy="57"/>
                            <a:chOff x="4980" y="3652"/>
                            <a:chExt cx="114" cy="57"/>
                          </a:xfrm>
                        </wpg:grpSpPr>
                        <wps:wsp>
                          <wps:cNvPr id="37" name="Line 36"/>
                          <wps:cNvCnPr/>
                          <wps:spPr>
                            <a:xfrm flipH="1" flipV="1">
                              <a:off x="4980" y="3652"/>
                              <a:ext cx="57" cy="57"/>
                            </a:xfrm>
                            <a:prstGeom prst="line">
                              <a:avLst/>
                            </a:prstGeom>
                            <a:ln w="9525" cap="flat" cmpd="sng">
                              <a:solidFill>
                                <a:srgbClr val="000000"/>
                              </a:solidFill>
                              <a:prstDash val="solid"/>
                              <a:headEnd type="none" w="med" len="med"/>
                              <a:tailEnd type="none" w="med" len="med"/>
                            </a:ln>
                          </wps:spPr>
                          <wps:bodyPr upright="1"/>
                        </wps:wsp>
                        <wps:wsp>
                          <wps:cNvPr id="38" name="Line 37"/>
                          <wps:cNvCnPr/>
                          <wps:spPr>
                            <a:xfrm flipV="1">
                              <a:off x="5037" y="3652"/>
                              <a:ext cx="57" cy="57"/>
                            </a:xfrm>
                            <a:prstGeom prst="line">
                              <a:avLst/>
                            </a:prstGeom>
                            <a:ln w="9525" cap="flat" cmpd="sng">
                              <a:solidFill>
                                <a:srgbClr val="000000"/>
                              </a:solidFill>
                              <a:prstDash val="solid"/>
                              <a:headEnd type="none" w="med" len="med"/>
                              <a:tailEnd type="none" w="med" len="med"/>
                            </a:ln>
                          </wps:spPr>
                          <wps:bodyPr upright="1"/>
                        </wps:wsp>
                      </wpg:grpSp>
                      <wpg:grpSp>
                        <wpg:cNvPr id="42" name="Group 38"/>
                        <wpg:cNvGrpSpPr/>
                        <wpg:grpSpPr>
                          <a:xfrm>
                            <a:off x="6852" y="3652"/>
                            <a:ext cx="114" cy="57"/>
                            <a:chOff x="4980" y="3652"/>
                            <a:chExt cx="114" cy="57"/>
                          </a:xfrm>
                        </wpg:grpSpPr>
                        <wps:wsp>
                          <wps:cNvPr id="40" name="Line 39"/>
                          <wps:cNvCnPr/>
                          <wps:spPr>
                            <a:xfrm flipH="1" flipV="1">
                              <a:off x="4980" y="3652"/>
                              <a:ext cx="57" cy="57"/>
                            </a:xfrm>
                            <a:prstGeom prst="line">
                              <a:avLst/>
                            </a:prstGeom>
                            <a:ln w="9525" cap="flat" cmpd="sng">
                              <a:solidFill>
                                <a:srgbClr val="000000"/>
                              </a:solidFill>
                              <a:prstDash val="solid"/>
                              <a:headEnd type="none" w="med" len="med"/>
                              <a:tailEnd type="none" w="med" len="med"/>
                            </a:ln>
                          </wps:spPr>
                          <wps:bodyPr upright="1"/>
                        </wps:wsp>
                        <wps:wsp>
                          <wps:cNvPr id="41" name="Line 40"/>
                          <wps:cNvCnPr/>
                          <wps:spPr>
                            <a:xfrm flipV="1">
                              <a:off x="5037" y="3652"/>
                              <a:ext cx="57" cy="57"/>
                            </a:xfrm>
                            <a:prstGeom prst="line">
                              <a:avLst/>
                            </a:prstGeom>
                            <a:ln w="9525" cap="flat" cmpd="sng">
                              <a:solidFill>
                                <a:srgbClr val="000000"/>
                              </a:solidFill>
                              <a:prstDash val="solid"/>
                              <a:headEnd type="none" w="med" len="med"/>
                              <a:tailEnd type="none" w="med" len="med"/>
                            </a:ln>
                          </wps:spPr>
                          <wps:bodyPr upright="1"/>
                        </wps:wsp>
                      </wpg:grpSp>
                      <wpg:grpSp>
                        <wpg:cNvPr id="45" name="Group 41"/>
                        <wpg:cNvGrpSpPr/>
                        <wpg:grpSpPr>
                          <a:xfrm>
                            <a:off x="6402" y="3652"/>
                            <a:ext cx="114" cy="57"/>
                            <a:chOff x="4980" y="3652"/>
                            <a:chExt cx="114" cy="57"/>
                          </a:xfrm>
                        </wpg:grpSpPr>
                        <wps:wsp>
                          <wps:cNvPr id="43" name="Line 42"/>
                          <wps:cNvCnPr/>
                          <wps:spPr>
                            <a:xfrm flipH="1" flipV="1">
                              <a:off x="4980" y="3652"/>
                              <a:ext cx="57" cy="57"/>
                            </a:xfrm>
                            <a:prstGeom prst="line">
                              <a:avLst/>
                            </a:prstGeom>
                            <a:ln w="9525" cap="flat" cmpd="sng">
                              <a:solidFill>
                                <a:srgbClr val="000000"/>
                              </a:solidFill>
                              <a:prstDash val="solid"/>
                              <a:headEnd type="none" w="med" len="med"/>
                              <a:tailEnd type="none" w="med" len="med"/>
                            </a:ln>
                          </wps:spPr>
                          <wps:bodyPr upright="1"/>
                        </wps:wsp>
                        <wps:wsp>
                          <wps:cNvPr id="44" name="Line 43"/>
                          <wps:cNvCnPr/>
                          <wps:spPr>
                            <a:xfrm flipV="1">
                              <a:off x="5037" y="3652"/>
                              <a:ext cx="57" cy="57"/>
                            </a:xfrm>
                            <a:prstGeom prst="line">
                              <a:avLst/>
                            </a:prstGeom>
                            <a:ln w="9525" cap="flat" cmpd="sng">
                              <a:solidFill>
                                <a:srgbClr val="000000"/>
                              </a:solidFill>
                              <a:prstDash val="solid"/>
                              <a:headEnd type="none" w="med" len="med"/>
                              <a:tailEnd type="none" w="med" len="med"/>
                            </a:ln>
                          </wps:spPr>
                          <wps:bodyPr upright="1"/>
                        </wps:wsp>
                      </wpg:grpSp>
                      <wpg:grpSp>
                        <wpg:cNvPr id="49" name="Group 44"/>
                        <wpg:cNvGrpSpPr/>
                        <wpg:grpSpPr>
                          <a:xfrm>
                            <a:off x="5952" y="3646"/>
                            <a:ext cx="114" cy="57"/>
                            <a:chOff x="4980" y="3652"/>
                            <a:chExt cx="114" cy="57"/>
                          </a:xfrm>
                        </wpg:grpSpPr>
                        <wps:wsp>
                          <wps:cNvPr id="47" name="Line 45"/>
                          <wps:cNvCnPr/>
                          <wps:spPr>
                            <a:xfrm flipH="1" flipV="1">
                              <a:off x="4980" y="3652"/>
                              <a:ext cx="57" cy="57"/>
                            </a:xfrm>
                            <a:prstGeom prst="line">
                              <a:avLst/>
                            </a:prstGeom>
                            <a:ln w="9525" cap="flat" cmpd="sng">
                              <a:solidFill>
                                <a:srgbClr val="000000"/>
                              </a:solidFill>
                              <a:prstDash val="solid"/>
                              <a:headEnd type="none" w="med" len="med"/>
                              <a:tailEnd type="none" w="med" len="med"/>
                            </a:ln>
                          </wps:spPr>
                          <wps:bodyPr upright="1"/>
                        </wps:wsp>
                        <wps:wsp>
                          <wps:cNvPr id="48" name="Line 46"/>
                          <wps:cNvCnPr/>
                          <wps:spPr>
                            <a:xfrm flipV="1">
                              <a:off x="5037" y="3652"/>
                              <a:ext cx="57" cy="57"/>
                            </a:xfrm>
                            <a:prstGeom prst="line">
                              <a:avLst/>
                            </a:prstGeom>
                            <a:ln w="9525" cap="flat" cmpd="sng">
                              <a:solidFill>
                                <a:srgbClr val="000000"/>
                              </a:solidFill>
                              <a:prstDash val="solid"/>
                              <a:headEnd type="none" w="med" len="med"/>
                              <a:tailEnd type="none" w="med" len="med"/>
                            </a:ln>
                          </wps:spPr>
                          <wps:bodyPr upright="1"/>
                        </wps:wsp>
                      </wpg:grpSp>
                      <wps:wsp>
                        <wps:cNvPr id="50" name="Text Box 47"/>
                        <wps:cNvSpPr txBox="1"/>
                        <wps:spPr>
                          <a:xfrm>
                            <a:off x="3582" y="1858"/>
                            <a:ext cx="900" cy="624"/>
                          </a:xfrm>
                          <a:prstGeom prst="rect">
                            <a:avLst/>
                          </a:prstGeom>
                          <a:noFill/>
                          <a:ln>
                            <a:noFill/>
                          </a:ln>
                        </wps:spPr>
                        <wps:txbx>
                          <w:txbxContent>
                            <w:p>
                              <w:pPr>
                                <w:spacing w:line="240" w:lineRule="auto"/>
                                <w:ind w:firstLine="0" w:firstLineChars="0"/>
                                <w:rPr>
                                  <w:sz w:val="21"/>
                                </w:rPr>
                              </w:pPr>
                              <w:r>
                                <w:rPr>
                                  <w:rFonts w:hint="eastAsia"/>
                                  <w:sz w:val="21"/>
                                </w:rPr>
                                <w:t>空气</w:t>
                              </w:r>
                            </w:p>
                          </w:txbxContent>
                        </wps:txbx>
                        <wps:bodyPr upright="1"/>
                      </wps:wsp>
                      <wps:wsp>
                        <wps:cNvPr id="51" name="Line 48"/>
                        <wps:cNvCnPr/>
                        <wps:spPr>
                          <a:xfrm flipH="1">
                            <a:off x="4497" y="3565"/>
                            <a:ext cx="2880" cy="1"/>
                          </a:xfrm>
                          <a:prstGeom prst="line">
                            <a:avLst/>
                          </a:prstGeom>
                          <a:ln w="9525" cap="flat" cmpd="sng">
                            <a:solidFill>
                              <a:srgbClr val="000000"/>
                            </a:solidFill>
                            <a:prstDash val="solid"/>
                            <a:headEnd type="none" w="med" len="med"/>
                            <a:tailEnd type="none" w="med" len="med"/>
                          </a:ln>
                        </wps:spPr>
                        <wps:bodyPr upright="1"/>
                      </wps:wsp>
                      <wps:wsp>
                        <wps:cNvPr id="52" name="Line 49"/>
                        <wps:cNvCnPr/>
                        <wps:spPr>
                          <a:xfrm flipH="1">
                            <a:off x="4512" y="3400"/>
                            <a:ext cx="2880" cy="0"/>
                          </a:xfrm>
                          <a:prstGeom prst="line">
                            <a:avLst/>
                          </a:prstGeom>
                          <a:ln w="9525" cap="flat" cmpd="sng">
                            <a:solidFill>
                              <a:srgbClr val="000000"/>
                            </a:solidFill>
                            <a:prstDash val="solid"/>
                            <a:headEnd type="none" w="med" len="med"/>
                            <a:tailEnd type="none" w="med" len="med"/>
                          </a:ln>
                        </wps:spPr>
                        <wps:bodyPr upright="1"/>
                      </wps:wsp>
                      <wps:wsp>
                        <wps:cNvPr id="53" name="Line 50"/>
                        <wps:cNvCnPr/>
                        <wps:spPr>
                          <a:xfrm flipH="1">
                            <a:off x="4512" y="1684"/>
                            <a:ext cx="2880" cy="0"/>
                          </a:xfrm>
                          <a:prstGeom prst="line">
                            <a:avLst/>
                          </a:prstGeom>
                          <a:ln w="9525" cap="flat" cmpd="sng">
                            <a:solidFill>
                              <a:srgbClr val="000000"/>
                            </a:solidFill>
                            <a:prstDash val="solid"/>
                            <a:headEnd type="none" w="med" len="med"/>
                            <a:tailEnd type="none" w="med" len="med"/>
                          </a:ln>
                        </wps:spPr>
                        <wps:bodyPr upright="1"/>
                      </wps:wsp>
                      <wps:wsp>
                        <wps:cNvPr id="54" name="Line 51"/>
                        <wps:cNvCnPr/>
                        <wps:spPr>
                          <a:xfrm flipV="1">
                            <a:off x="4512" y="1684"/>
                            <a:ext cx="2880" cy="1716"/>
                          </a:xfrm>
                          <a:prstGeom prst="line">
                            <a:avLst/>
                          </a:prstGeom>
                          <a:ln w="9525" cap="flat" cmpd="sng">
                            <a:solidFill>
                              <a:srgbClr val="000000"/>
                            </a:solidFill>
                            <a:prstDash val="solid"/>
                            <a:headEnd type="none" w="med" len="med"/>
                            <a:tailEnd type="none" w="med" len="med"/>
                          </a:ln>
                        </wps:spPr>
                        <wps:bodyPr upright="1"/>
                      </wps:wsp>
                      <wps:wsp>
                        <wps:cNvPr id="55" name="Line 52"/>
                        <wps:cNvCnPr/>
                        <wps:spPr>
                          <a:xfrm>
                            <a:off x="4512" y="1684"/>
                            <a:ext cx="2880" cy="1716"/>
                          </a:xfrm>
                          <a:prstGeom prst="line">
                            <a:avLst/>
                          </a:prstGeom>
                          <a:ln w="9525" cap="flat" cmpd="sng">
                            <a:solidFill>
                              <a:srgbClr val="000000"/>
                            </a:solidFill>
                            <a:prstDash val="solid"/>
                            <a:headEnd type="none" w="med" len="med"/>
                            <a:tailEnd type="none" w="med" len="med"/>
                          </a:ln>
                        </wps:spPr>
                        <wps:bodyPr upright="1"/>
                      </wps:wsp>
                      <wps:wsp>
                        <wps:cNvPr id="56" name="Line 53"/>
                        <wps:cNvCnPr/>
                        <wps:spPr>
                          <a:xfrm flipH="1">
                            <a:off x="4152" y="1528"/>
                            <a:ext cx="360" cy="1"/>
                          </a:xfrm>
                          <a:prstGeom prst="line">
                            <a:avLst/>
                          </a:prstGeom>
                          <a:ln w="9525" cap="flat" cmpd="sng">
                            <a:solidFill>
                              <a:srgbClr val="000000"/>
                            </a:solidFill>
                            <a:prstDash val="solid"/>
                            <a:headEnd type="none" w="med" len="med"/>
                            <a:tailEnd type="none" w="med" len="med"/>
                          </a:ln>
                        </wps:spPr>
                        <wps:bodyPr upright="1"/>
                      </wps:wsp>
                      <wps:wsp>
                        <wps:cNvPr id="57" name="Line 54"/>
                        <wps:cNvCnPr/>
                        <wps:spPr>
                          <a:xfrm flipH="1">
                            <a:off x="7392" y="1528"/>
                            <a:ext cx="360" cy="1"/>
                          </a:xfrm>
                          <a:prstGeom prst="line">
                            <a:avLst/>
                          </a:prstGeom>
                          <a:ln w="9525" cap="flat" cmpd="sng">
                            <a:solidFill>
                              <a:srgbClr val="000000"/>
                            </a:solidFill>
                            <a:prstDash val="solid"/>
                            <a:headEnd type="none" w="med" len="med"/>
                            <a:tailEnd type="none" w="med" len="med"/>
                          </a:ln>
                        </wps:spPr>
                        <wps:bodyPr upright="1"/>
                      </wps:wsp>
                      <wps:wsp>
                        <wps:cNvPr id="58" name="Line 55"/>
                        <wps:cNvCnPr/>
                        <wps:spPr>
                          <a:xfrm flipV="1">
                            <a:off x="4152" y="1060"/>
                            <a:ext cx="1" cy="468"/>
                          </a:xfrm>
                          <a:prstGeom prst="line">
                            <a:avLst/>
                          </a:prstGeom>
                          <a:ln w="9525" cap="flat" cmpd="sng">
                            <a:solidFill>
                              <a:srgbClr val="000000"/>
                            </a:solidFill>
                            <a:prstDash val="solid"/>
                            <a:headEnd type="none" w="med" len="med"/>
                            <a:tailEnd type="none" w="med" len="med"/>
                          </a:ln>
                        </wps:spPr>
                        <wps:bodyPr upright="1"/>
                      </wps:wsp>
                      <wps:wsp>
                        <wps:cNvPr id="82" name="Line 56"/>
                        <wps:cNvCnPr/>
                        <wps:spPr>
                          <a:xfrm>
                            <a:off x="4152" y="1060"/>
                            <a:ext cx="3600" cy="0"/>
                          </a:xfrm>
                          <a:prstGeom prst="line">
                            <a:avLst/>
                          </a:prstGeom>
                          <a:ln w="9525" cap="flat" cmpd="sng">
                            <a:solidFill>
                              <a:srgbClr val="000000"/>
                            </a:solidFill>
                            <a:prstDash val="solid"/>
                            <a:headEnd type="none" w="med" len="med"/>
                            <a:tailEnd type="none" w="med" len="med"/>
                          </a:ln>
                        </wps:spPr>
                        <wps:bodyPr upright="1"/>
                      </wps:wsp>
                      <wps:wsp>
                        <wps:cNvPr id="83" name="Line 57"/>
                        <wps:cNvCnPr/>
                        <wps:spPr>
                          <a:xfrm flipV="1">
                            <a:off x="7752" y="1060"/>
                            <a:ext cx="0" cy="468"/>
                          </a:xfrm>
                          <a:prstGeom prst="line">
                            <a:avLst/>
                          </a:prstGeom>
                          <a:ln w="9525" cap="flat" cmpd="sng">
                            <a:solidFill>
                              <a:srgbClr val="000000"/>
                            </a:solidFill>
                            <a:prstDash val="solid"/>
                            <a:headEnd type="none" w="med" len="med"/>
                            <a:tailEnd type="none" w="med" len="med"/>
                          </a:ln>
                        </wps:spPr>
                        <wps:bodyPr upright="1"/>
                      </wps:wsp>
                      <wpg:grpSp>
                        <wpg:cNvPr id="87" name="Group 58"/>
                        <wpg:cNvGrpSpPr/>
                        <wpg:grpSpPr>
                          <a:xfrm>
                            <a:off x="4305" y="1125"/>
                            <a:ext cx="3252" cy="213"/>
                            <a:chOff x="4305" y="900"/>
                            <a:chExt cx="3252" cy="213"/>
                          </a:xfrm>
                        </wpg:grpSpPr>
                        <wps:wsp>
                          <wps:cNvPr id="84" name="Line 59"/>
                          <wps:cNvCnPr/>
                          <wps:spPr>
                            <a:xfrm>
                              <a:off x="4512" y="904"/>
                              <a:ext cx="2880" cy="1"/>
                            </a:xfrm>
                            <a:prstGeom prst="line">
                              <a:avLst/>
                            </a:prstGeom>
                            <a:ln w="9525" cap="flat" cmpd="sng">
                              <a:solidFill>
                                <a:srgbClr val="000000"/>
                              </a:solidFill>
                              <a:prstDash val="solid"/>
                              <a:headEnd type="none" w="med" len="med"/>
                              <a:tailEnd type="none" w="med" len="med"/>
                            </a:ln>
                          </wps:spPr>
                          <wps:bodyPr upright="1"/>
                        </wps:wsp>
                        <wps:wsp>
                          <wps:cNvPr id="85" name="Freeform 60"/>
                          <wps:cNvSpPr/>
                          <wps:spPr>
                            <a:xfrm>
                              <a:off x="4305" y="906"/>
                              <a:ext cx="201" cy="189"/>
                            </a:xfrm>
                            <a:custGeom>
                              <a:avLst/>
                              <a:gdLst>
                                <a:gd name="txL" fmla="*/ 0 w 201"/>
                                <a:gd name="txT" fmla="*/ 0 h 189"/>
                                <a:gd name="txR" fmla="*/ 201 w 201"/>
                                <a:gd name="txB" fmla="*/ 189 h 189"/>
                              </a:gdLst>
                              <a:ahLst/>
                              <a:cxnLst>
                                <a:cxn ang="0">
                                  <a:pos x="201" y="0"/>
                                </a:cxn>
                                <a:cxn ang="0">
                                  <a:pos x="114" y="3"/>
                                </a:cxn>
                                <a:cxn ang="0">
                                  <a:pos x="78" y="21"/>
                                </a:cxn>
                                <a:cxn ang="0">
                                  <a:pos x="45" y="51"/>
                                </a:cxn>
                                <a:cxn ang="0">
                                  <a:pos x="0" y="189"/>
                                </a:cxn>
                              </a:cxnLst>
                              <a:rect l="txL" t="txT" r="txR" b="txB"/>
                              <a:pathLst>
                                <a:path w="201" h="189">
                                  <a:moveTo>
                                    <a:pt x="201" y="0"/>
                                  </a:moveTo>
                                  <a:cubicBezTo>
                                    <a:pt x="172" y="1"/>
                                    <a:pt x="143" y="1"/>
                                    <a:pt x="114" y="3"/>
                                  </a:cubicBezTo>
                                  <a:cubicBezTo>
                                    <a:pt x="101" y="4"/>
                                    <a:pt x="78" y="21"/>
                                    <a:pt x="78" y="21"/>
                                  </a:cubicBezTo>
                                  <a:cubicBezTo>
                                    <a:pt x="69" y="34"/>
                                    <a:pt x="55" y="39"/>
                                    <a:pt x="45" y="51"/>
                                  </a:cubicBezTo>
                                  <a:cubicBezTo>
                                    <a:pt x="5" y="102"/>
                                    <a:pt x="0" y="121"/>
                                    <a:pt x="0" y="189"/>
                                  </a:cubicBezTo>
                                </a:path>
                              </a:pathLst>
                            </a:custGeom>
                            <a:noFill/>
                            <a:ln w="9525" cap="flat" cmpd="sng">
                              <a:solidFill>
                                <a:srgbClr val="000000"/>
                              </a:solidFill>
                              <a:prstDash val="solid"/>
                              <a:round/>
                              <a:headEnd type="none" w="med" len="med"/>
                              <a:tailEnd type="none" w="med" len="med"/>
                            </a:ln>
                          </wps:spPr>
                          <wps:bodyPr upright="1"/>
                        </wps:wsp>
                        <wps:wsp>
                          <wps:cNvPr id="86" name="Freeform 61"/>
                          <wps:cNvSpPr/>
                          <wps:spPr>
                            <a:xfrm>
                              <a:off x="7398" y="900"/>
                              <a:ext cx="159" cy="213"/>
                            </a:xfrm>
                            <a:custGeom>
                              <a:avLst/>
                              <a:gdLst>
                                <a:gd name="txL" fmla="*/ 0 w 159"/>
                                <a:gd name="txT" fmla="*/ 0 h 213"/>
                                <a:gd name="txR" fmla="*/ 159 w 159"/>
                                <a:gd name="txB" fmla="*/ 213 h 213"/>
                              </a:gdLst>
                              <a:ahLst/>
                              <a:cxnLst>
                                <a:cxn ang="0">
                                  <a:pos x="0" y="0"/>
                                </a:cxn>
                                <a:cxn ang="0">
                                  <a:pos x="48" y="12"/>
                                </a:cxn>
                                <a:cxn ang="0">
                                  <a:pos x="66" y="24"/>
                                </a:cxn>
                                <a:cxn ang="0">
                                  <a:pos x="75" y="30"/>
                                </a:cxn>
                                <a:cxn ang="0">
                                  <a:pos x="96" y="54"/>
                                </a:cxn>
                                <a:cxn ang="0">
                                  <a:pos x="126" y="87"/>
                                </a:cxn>
                                <a:cxn ang="0">
                                  <a:pos x="159" y="159"/>
                                </a:cxn>
                                <a:cxn ang="0">
                                  <a:pos x="159" y="213"/>
                                </a:cxn>
                              </a:cxnLst>
                              <a:rect l="txL" t="txT" r="txR" b="txB"/>
                              <a:pathLst>
                                <a:path w="159" h="213">
                                  <a:moveTo>
                                    <a:pt x="0" y="0"/>
                                  </a:moveTo>
                                  <a:cubicBezTo>
                                    <a:pt x="14" y="2"/>
                                    <a:pt x="35" y="5"/>
                                    <a:pt x="48" y="12"/>
                                  </a:cubicBezTo>
                                  <a:cubicBezTo>
                                    <a:pt x="54" y="16"/>
                                    <a:pt x="60" y="20"/>
                                    <a:pt x="66" y="24"/>
                                  </a:cubicBezTo>
                                  <a:cubicBezTo>
                                    <a:pt x="69" y="26"/>
                                    <a:pt x="75" y="30"/>
                                    <a:pt x="75" y="30"/>
                                  </a:cubicBezTo>
                                  <a:cubicBezTo>
                                    <a:pt x="89" y="51"/>
                                    <a:pt x="81" y="44"/>
                                    <a:pt x="96" y="54"/>
                                  </a:cubicBezTo>
                                  <a:cubicBezTo>
                                    <a:pt x="104" y="66"/>
                                    <a:pt x="116" y="77"/>
                                    <a:pt x="126" y="87"/>
                                  </a:cubicBezTo>
                                  <a:cubicBezTo>
                                    <a:pt x="133" y="109"/>
                                    <a:pt x="159" y="136"/>
                                    <a:pt x="159" y="159"/>
                                  </a:cubicBezTo>
                                  <a:cubicBezTo>
                                    <a:pt x="159" y="177"/>
                                    <a:pt x="159" y="195"/>
                                    <a:pt x="159" y="213"/>
                                  </a:cubicBezTo>
                                </a:path>
                              </a:pathLst>
                            </a:custGeom>
                            <a:noFill/>
                            <a:ln w="9525" cap="flat" cmpd="sng">
                              <a:solidFill>
                                <a:srgbClr val="000000"/>
                              </a:solidFill>
                              <a:prstDash val="solid"/>
                              <a:round/>
                              <a:headEnd type="none" w="med" len="med"/>
                              <a:tailEnd type="none" w="med" len="med"/>
                            </a:ln>
                          </wps:spPr>
                          <wps:bodyPr upright="1"/>
                        </wps:wsp>
                      </wpg:grpSp>
                      <wps:wsp>
                        <wps:cNvPr id="88" name="Line 62"/>
                        <wps:cNvCnPr/>
                        <wps:spPr>
                          <a:xfrm>
                            <a:off x="4152" y="1372"/>
                            <a:ext cx="360" cy="0"/>
                          </a:xfrm>
                          <a:prstGeom prst="line">
                            <a:avLst/>
                          </a:prstGeom>
                          <a:ln w="9525" cap="flat" cmpd="sng">
                            <a:solidFill>
                              <a:srgbClr val="000000"/>
                            </a:solidFill>
                            <a:prstDash val="solid"/>
                            <a:headEnd type="none" w="med" len="med"/>
                            <a:tailEnd type="none" w="med" len="med"/>
                          </a:ln>
                        </wps:spPr>
                        <wps:bodyPr upright="1"/>
                      </wps:wsp>
                      <wps:wsp>
                        <wps:cNvPr id="89" name="Line 63"/>
                        <wps:cNvCnPr/>
                        <wps:spPr>
                          <a:xfrm>
                            <a:off x="7392" y="1372"/>
                            <a:ext cx="360" cy="0"/>
                          </a:xfrm>
                          <a:prstGeom prst="line">
                            <a:avLst/>
                          </a:prstGeom>
                          <a:ln w="9525" cap="flat" cmpd="sng">
                            <a:solidFill>
                              <a:srgbClr val="000000"/>
                            </a:solidFill>
                            <a:prstDash val="solid"/>
                            <a:headEnd type="none" w="med" len="med"/>
                            <a:tailEnd type="none" w="med" len="med"/>
                          </a:ln>
                        </wps:spPr>
                        <wps:bodyPr upright="1"/>
                      </wps:wsp>
                      <wps:wsp>
                        <wps:cNvPr id="90" name="Line 64"/>
                        <wps:cNvCnPr/>
                        <wps:spPr>
                          <a:xfrm>
                            <a:off x="7572" y="1528"/>
                            <a:ext cx="0" cy="156"/>
                          </a:xfrm>
                          <a:prstGeom prst="line">
                            <a:avLst/>
                          </a:prstGeom>
                          <a:ln w="9525" cap="flat" cmpd="sng">
                            <a:solidFill>
                              <a:srgbClr val="000000"/>
                            </a:solidFill>
                            <a:prstDash val="solid"/>
                            <a:headEnd type="none" w="med" len="med"/>
                            <a:tailEnd type="none" w="med" len="med"/>
                          </a:ln>
                        </wps:spPr>
                        <wps:bodyPr upright="1"/>
                      </wps:wsp>
                      <wps:wsp>
                        <wps:cNvPr id="91" name="Line 65"/>
                        <wps:cNvCnPr/>
                        <wps:spPr>
                          <a:xfrm>
                            <a:off x="7572" y="1684"/>
                            <a:ext cx="540" cy="0"/>
                          </a:xfrm>
                          <a:prstGeom prst="line">
                            <a:avLst/>
                          </a:prstGeom>
                          <a:ln w="9525" cap="flat" cmpd="sng">
                            <a:solidFill>
                              <a:srgbClr val="000000"/>
                            </a:solidFill>
                            <a:prstDash val="solid"/>
                            <a:headEnd type="none" w="med" len="med"/>
                            <a:tailEnd type="stealth" w="med" len="lg"/>
                          </a:ln>
                        </wps:spPr>
                        <wps:bodyPr upright="1"/>
                      </wps:wsp>
                      <wps:wsp>
                        <wps:cNvPr id="92" name="Text Box 66"/>
                        <wps:cNvSpPr txBox="1"/>
                        <wps:spPr>
                          <a:xfrm>
                            <a:off x="8052" y="1363"/>
                            <a:ext cx="1080" cy="624"/>
                          </a:xfrm>
                          <a:prstGeom prst="rect">
                            <a:avLst/>
                          </a:prstGeom>
                          <a:noFill/>
                          <a:ln>
                            <a:noFill/>
                          </a:ln>
                        </wps:spPr>
                        <wps:txbx>
                          <w:txbxContent>
                            <w:p>
                              <w:pPr>
                                <w:spacing w:line="240" w:lineRule="auto"/>
                                <w:ind w:firstLine="0" w:firstLineChars="0"/>
                                <w:rPr>
                                  <w:sz w:val="21"/>
                                  <w:szCs w:val="21"/>
                                </w:rPr>
                              </w:pPr>
                              <w:r>
                                <w:rPr>
                                  <w:rFonts w:hint="eastAsia"/>
                                  <w:sz w:val="21"/>
                                  <w:szCs w:val="21"/>
                                </w:rPr>
                                <w:t>出水</w:t>
                              </w:r>
                            </w:p>
                          </w:txbxContent>
                        </wps:txbx>
                        <wps:bodyPr upright="1"/>
                      </wps:wsp>
                      <wps:wsp>
                        <wps:cNvPr id="93" name="Line 67"/>
                        <wps:cNvCnPr/>
                        <wps:spPr>
                          <a:xfrm>
                            <a:off x="6132" y="1216"/>
                            <a:ext cx="540" cy="1"/>
                          </a:xfrm>
                          <a:prstGeom prst="line">
                            <a:avLst/>
                          </a:prstGeom>
                          <a:ln w="9525" cap="flat" cmpd="sng">
                            <a:solidFill>
                              <a:srgbClr val="000000"/>
                            </a:solidFill>
                            <a:prstDash val="solid"/>
                            <a:headEnd type="none" w="med" len="med"/>
                            <a:tailEnd type="none" w="med" len="med"/>
                          </a:ln>
                        </wps:spPr>
                        <wps:bodyPr upright="1"/>
                      </wps:wsp>
                      <wps:wsp>
                        <wps:cNvPr id="94" name="Line 68"/>
                        <wps:cNvCnPr/>
                        <wps:spPr>
                          <a:xfrm>
                            <a:off x="6237" y="1297"/>
                            <a:ext cx="360" cy="1"/>
                          </a:xfrm>
                          <a:prstGeom prst="line">
                            <a:avLst/>
                          </a:prstGeom>
                          <a:ln w="9525" cap="flat" cmpd="sng">
                            <a:solidFill>
                              <a:srgbClr val="000000"/>
                            </a:solidFill>
                            <a:prstDash val="solid"/>
                            <a:headEnd type="none" w="med" len="med"/>
                            <a:tailEnd type="none" w="med" len="med"/>
                          </a:ln>
                        </wps:spPr>
                        <wps:bodyPr upright="1"/>
                      </wps:wsp>
                      <wps:wsp>
                        <wps:cNvPr id="96" name="Line 69"/>
                        <wps:cNvCnPr/>
                        <wps:spPr>
                          <a:xfrm>
                            <a:off x="6342" y="1378"/>
                            <a:ext cx="180" cy="1"/>
                          </a:xfrm>
                          <a:prstGeom prst="line">
                            <a:avLst/>
                          </a:prstGeom>
                          <a:ln w="9525" cap="flat" cmpd="sng">
                            <a:solidFill>
                              <a:srgbClr val="000000"/>
                            </a:solidFill>
                            <a:prstDash val="solid"/>
                            <a:headEnd type="none" w="med" len="med"/>
                            <a:tailEnd type="none" w="med" len="med"/>
                          </a:ln>
                        </wps:spPr>
                        <wps:bodyPr upright="1"/>
                      </wps:wsp>
                      <wps:wsp>
                        <wps:cNvPr id="97" name="Line 70"/>
                        <wps:cNvCnPr/>
                        <wps:spPr>
                          <a:xfrm flipV="1">
                            <a:off x="7032" y="592"/>
                            <a:ext cx="540" cy="780"/>
                          </a:xfrm>
                          <a:prstGeom prst="line">
                            <a:avLst/>
                          </a:prstGeom>
                          <a:ln w="9525" cap="flat" cmpd="sng">
                            <a:solidFill>
                              <a:srgbClr val="000000"/>
                            </a:solidFill>
                            <a:prstDash val="solid"/>
                            <a:headEnd type="none" w="med" len="med"/>
                            <a:tailEnd type="none" w="med" len="med"/>
                          </a:ln>
                        </wps:spPr>
                        <wps:bodyPr upright="1"/>
                      </wps:wsp>
                      <wps:wsp>
                        <wps:cNvPr id="99" name="Text Box 71"/>
                        <wps:cNvSpPr txBox="1"/>
                        <wps:spPr>
                          <a:xfrm>
                            <a:off x="7422" y="130"/>
                            <a:ext cx="1800" cy="624"/>
                          </a:xfrm>
                          <a:prstGeom prst="rect">
                            <a:avLst/>
                          </a:prstGeom>
                          <a:noFill/>
                          <a:ln>
                            <a:noFill/>
                          </a:ln>
                        </wps:spPr>
                        <wps:txbx>
                          <w:txbxContent>
                            <w:p>
                              <w:pPr>
                                <w:spacing w:line="240" w:lineRule="auto"/>
                                <w:ind w:firstLine="0" w:firstLineChars="0"/>
                              </w:pPr>
                              <w:r>
                                <w:rPr>
                                  <w:rFonts w:hint="eastAsia"/>
                                  <w:sz w:val="21"/>
                                </w:rPr>
                                <w:t>稳定水层</w:t>
                              </w:r>
                            </w:p>
                          </w:txbxContent>
                        </wps:txbx>
                        <wps:bodyPr upright="1"/>
                      </wps:wsp>
                      <wps:wsp>
                        <wps:cNvPr id="100" name="Line 72"/>
                        <wps:cNvCnPr/>
                        <wps:spPr>
                          <a:xfrm>
                            <a:off x="7392" y="2464"/>
                            <a:ext cx="360" cy="0"/>
                          </a:xfrm>
                          <a:prstGeom prst="line">
                            <a:avLst/>
                          </a:prstGeom>
                          <a:ln w="9525" cap="flat" cmpd="sng">
                            <a:solidFill>
                              <a:srgbClr val="000000"/>
                            </a:solidFill>
                            <a:prstDash val="solid"/>
                            <a:headEnd type="none" w="med" len="med"/>
                            <a:tailEnd type="none" w="med" len="med"/>
                          </a:ln>
                        </wps:spPr>
                        <wps:bodyPr upright="1"/>
                      </wps:wsp>
                      <wps:wsp>
                        <wps:cNvPr id="101" name="Text Box 73"/>
                        <wps:cNvSpPr txBox="1"/>
                        <wps:spPr>
                          <a:xfrm>
                            <a:off x="7647" y="2143"/>
                            <a:ext cx="1260" cy="624"/>
                          </a:xfrm>
                          <a:prstGeom prst="rect">
                            <a:avLst/>
                          </a:prstGeom>
                          <a:noFill/>
                          <a:ln>
                            <a:noFill/>
                          </a:ln>
                        </wps:spPr>
                        <wps:txbx>
                          <w:txbxContent>
                            <w:p>
                              <w:pPr>
                                <w:spacing w:line="240" w:lineRule="auto"/>
                                <w:ind w:firstLine="0" w:firstLineChars="0"/>
                                <w:rPr>
                                  <w:sz w:val="21"/>
                                </w:rPr>
                              </w:pPr>
                              <w:r>
                                <w:rPr>
                                  <w:rFonts w:hint="eastAsia"/>
                                  <w:sz w:val="21"/>
                                </w:rPr>
                                <w:t>池体</w:t>
                              </w:r>
                            </w:p>
                          </w:txbxContent>
                        </wps:txbx>
                        <wps:bodyPr upright="1"/>
                      </wps:wsp>
                      <wps:wsp>
                        <wps:cNvPr id="102" name="Line 74"/>
                        <wps:cNvCnPr/>
                        <wps:spPr>
                          <a:xfrm>
                            <a:off x="6852" y="2977"/>
                            <a:ext cx="900" cy="1"/>
                          </a:xfrm>
                          <a:prstGeom prst="line">
                            <a:avLst/>
                          </a:prstGeom>
                          <a:ln w="9525" cap="flat" cmpd="sng">
                            <a:solidFill>
                              <a:srgbClr val="000000"/>
                            </a:solidFill>
                            <a:prstDash val="solid"/>
                            <a:headEnd type="none" w="med" len="med"/>
                            <a:tailEnd type="none" w="med" len="med"/>
                          </a:ln>
                        </wps:spPr>
                        <wps:bodyPr upright="1"/>
                      </wps:wsp>
                      <wps:wsp>
                        <wps:cNvPr id="103" name="Text Box 75"/>
                        <wps:cNvSpPr txBox="1"/>
                        <wps:spPr>
                          <a:xfrm>
                            <a:off x="7662" y="2671"/>
                            <a:ext cx="1260" cy="624"/>
                          </a:xfrm>
                          <a:prstGeom prst="rect">
                            <a:avLst/>
                          </a:prstGeom>
                          <a:noFill/>
                          <a:ln>
                            <a:noFill/>
                          </a:ln>
                        </wps:spPr>
                        <wps:txbx>
                          <w:txbxContent>
                            <w:p>
                              <w:pPr>
                                <w:spacing w:line="240" w:lineRule="auto"/>
                                <w:ind w:firstLine="0" w:firstLineChars="0"/>
                              </w:pPr>
                              <w:r>
                                <w:rPr>
                                  <w:rFonts w:hint="eastAsia"/>
                                  <w:sz w:val="21"/>
                                  <w:szCs w:val="21"/>
                                </w:rPr>
                                <w:t>填料</w:t>
                              </w:r>
                            </w:p>
                          </w:txbxContent>
                        </wps:txbx>
                        <wps:bodyPr upright="1"/>
                      </wps:wsp>
                      <wps:wsp>
                        <wps:cNvPr id="104" name="Line 76"/>
                        <wps:cNvCnPr/>
                        <wps:spPr>
                          <a:xfrm>
                            <a:off x="7212" y="3460"/>
                            <a:ext cx="540" cy="156"/>
                          </a:xfrm>
                          <a:prstGeom prst="line">
                            <a:avLst/>
                          </a:prstGeom>
                          <a:ln w="9525" cap="flat" cmpd="sng">
                            <a:solidFill>
                              <a:srgbClr val="000000"/>
                            </a:solidFill>
                            <a:prstDash val="solid"/>
                            <a:headEnd type="none" w="med" len="med"/>
                            <a:tailEnd type="none" w="med" len="med"/>
                          </a:ln>
                        </wps:spPr>
                        <wps:bodyPr upright="1"/>
                      </wps:wsp>
                      <wps:wsp>
                        <wps:cNvPr id="105" name="Text Box 77"/>
                        <wps:cNvSpPr txBox="1"/>
                        <wps:spPr>
                          <a:xfrm>
                            <a:off x="7647" y="3280"/>
                            <a:ext cx="1440" cy="624"/>
                          </a:xfrm>
                          <a:prstGeom prst="rect">
                            <a:avLst/>
                          </a:prstGeom>
                          <a:noFill/>
                          <a:ln>
                            <a:noFill/>
                          </a:ln>
                        </wps:spPr>
                        <wps:txbx>
                          <w:txbxContent>
                            <w:p>
                              <w:pPr>
                                <w:spacing w:line="240" w:lineRule="auto"/>
                                <w:ind w:firstLine="0" w:firstLineChars="0"/>
                                <w:rPr>
                                  <w:sz w:val="21"/>
                                </w:rPr>
                              </w:pPr>
                              <w:r>
                                <w:rPr>
                                  <w:rFonts w:hint="eastAsia"/>
                                  <w:sz w:val="21"/>
                                </w:rPr>
                                <w:t>格棚支架</w:t>
                              </w:r>
                            </w:p>
                          </w:txbxContent>
                        </wps:txbx>
                        <wps:bodyPr upright="1"/>
                      </wps:wsp>
                      <wps:wsp>
                        <wps:cNvPr id="106" name="Line 78"/>
                        <wps:cNvCnPr/>
                        <wps:spPr>
                          <a:xfrm>
                            <a:off x="7032" y="3712"/>
                            <a:ext cx="720" cy="624"/>
                          </a:xfrm>
                          <a:prstGeom prst="line">
                            <a:avLst/>
                          </a:prstGeom>
                          <a:ln w="9525" cap="flat" cmpd="sng">
                            <a:solidFill>
                              <a:srgbClr val="000000"/>
                            </a:solidFill>
                            <a:prstDash val="solid"/>
                            <a:headEnd type="none" w="med" len="med"/>
                            <a:tailEnd type="none" w="med" len="med"/>
                          </a:ln>
                        </wps:spPr>
                        <wps:bodyPr upright="1"/>
                      </wps:wsp>
                      <wps:wsp>
                        <wps:cNvPr id="107" name="Line 79"/>
                        <wps:cNvCnPr/>
                        <wps:spPr>
                          <a:xfrm flipH="1" flipV="1">
                            <a:off x="3792" y="1060"/>
                            <a:ext cx="540" cy="312"/>
                          </a:xfrm>
                          <a:prstGeom prst="line">
                            <a:avLst/>
                          </a:prstGeom>
                          <a:ln w="9525" cap="flat" cmpd="sng">
                            <a:solidFill>
                              <a:srgbClr val="000000"/>
                            </a:solidFill>
                            <a:prstDash val="solid"/>
                            <a:headEnd type="none" w="med" len="med"/>
                            <a:tailEnd type="none" w="med" len="med"/>
                          </a:ln>
                        </wps:spPr>
                        <wps:bodyPr upright="1"/>
                      </wps:wsp>
                      <wps:wsp>
                        <wps:cNvPr id="112" name="Text Box 80"/>
                        <wps:cNvSpPr txBox="1"/>
                        <wps:spPr>
                          <a:xfrm>
                            <a:off x="2937" y="586"/>
                            <a:ext cx="1260" cy="624"/>
                          </a:xfrm>
                          <a:prstGeom prst="rect">
                            <a:avLst/>
                          </a:prstGeom>
                          <a:noFill/>
                          <a:ln>
                            <a:noFill/>
                          </a:ln>
                        </wps:spPr>
                        <wps:txbx>
                          <w:txbxContent>
                            <w:p>
                              <w:pPr>
                                <w:spacing w:line="240" w:lineRule="auto"/>
                                <w:ind w:firstLine="0" w:firstLineChars="0"/>
                                <w:rPr>
                                  <w:sz w:val="21"/>
                                </w:rPr>
                              </w:pPr>
                              <w:r>
                                <w:rPr>
                                  <w:rFonts w:hint="eastAsia"/>
                                  <w:sz w:val="21"/>
                                </w:rPr>
                                <w:t>出水渠</w:t>
                              </w:r>
                            </w:p>
                          </w:txbxContent>
                        </wps:txbx>
                        <wps:bodyPr upright="1"/>
                      </wps:wsp>
                    </wpg:wgp>
                  </a:graphicData>
                </a:graphic>
              </wp:anchor>
            </w:drawing>
          </mc:Choice>
          <mc:Fallback>
            <w:pict>
              <v:group id="Group 20" o:spid="_x0000_s1026" o:spt="203" style="position:absolute;left:0pt;margin-left:50.15pt;margin-top:13.45pt;height:171.35pt;width:318.5pt;z-index:251674624;mso-width-relative:page;mso-height-relative:page;" coordorigin="2607,130" coordsize="6615,4206" o:gfxdata="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">
                <o:lock v:ext="edit" aspectratio="f"/>
                <v:line id="Line 21" o:spid="_x0000_s1026" o:spt="20" style="position:absolute;left:4512;top:4180;height:0;width:2880;" filled="f" stroked="t" coordsize="21600,21600" o:gfxdata="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06RfwvQAA&#10;ANo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22" o:spid="_x0000_s1026" o:spt="20" style="position:absolute;left:7392;top:1216;flip:y;height:2964;width:1;" filled="f" stroked="t" coordsize="21600,21600" o:gfxdata="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GRU0augAAANs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Line 23" o:spid="_x0000_s1026" o:spt="20" style="position:absolute;left:4512;top:1216;height:2964;width:1;" filled="f" stroked="t" coordsize="21600,21600" o:gfxdata="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jVSNy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group id="Group 24" o:spid="_x0000_s1026" o:spt="203" style="position:absolute;left:2607;top:3694;height:624;width:1905;" coordorigin="2607,3694" coordsize="1905,624" o:gfxdata="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zi8PcvwAAANsAAAAPAAAAAAAAAAEAIAAAACIAAABkcnMvZG93bnJldi54&#10;bWxQSwECFAAUAAAACACHTuJAMy8FnjsAAAA5AAAAFQAAAAAAAAABACAAAAAOAQAAZHJzL2dyb3Vw&#10;c2hhcGV4bWwueG1sUEsFBgAAAAAGAAYAYAEAAMsDAAAAAA==&#10;">
                  <o:lock v:ext="edit" aspectratio="f"/>
                  <v:group id="Group 25" o:spid="_x0000_s1026" o:spt="203" style="position:absolute;left:3432;top:4024;height:1;width:1080;" coordorigin="3432,4024" coordsize="1080,1" o:gfxdata="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LBX4ML0AAADbAAAADwAAAAAAAAABACAAAAAiAAAAZHJzL2Rvd25yZXYueG1s&#10;UEsBAhQAFAAAAAgAh07iQDMvBZ47AAAAOQAAABUAAAAAAAAAAQAgAAAADAEAAGRycy9ncm91cHNo&#10;YXBleG1sLnhtbFBLBQYAAAAABgAGAGABAADJAwAAAAA=&#10;">
                    <o:lock v:ext="edit" aspectratio="f"/>
                    <v:line id="Line 26" o:spid="_x0000_s1026" o:spt="20" style="position:absolute;left:3432;top:4024;flip:x;height:0;width:1080;" filled="f" stroked="t" coordsize="21600,21600" o:gfxdata="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ROKE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27" o:spid="_x0000_s1026" o:spt="20" style="position:absolute;left:3702;top:4024;height:1;width:540;" filled="f" stroked="t" coordsize="21600,21600" o:gfxdata="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kKsr7ugAAANsA&#10;AAAPAAAAAAAAAAEAIAAAACIAAABkcnMvZG93bnJldi54bWxQSwECFAAUAAAACACHTuJAMy8FnjsA&#10;AAA5AAAAEAAAAAAAAAABACAAAAAJAQAAZHJzL3NoYXBleG1sLnhtbFBLBQYAAAAABgAGAFsBAACz&#10;AwAAAAA=&#10;">
                      <v:fill on="f" focussize="0,0"/>
                      <v:stroke color="#000000" joinstyle="round" endarrow="classic" endarrowlength="long"/>
                      <v:imagedata o:title=""/>
                      <o:lock v:ext="edit" aspectratio="f"/>
                    </v:line>
                  </v:group>
                  <v:shape id="Text Box 28" o:spid="_x0000_s1026" o:spt="202" type="#_x0000_t202" style="position:absolute;left:2607;top:3694;height:624;width:1080;" filled="f" stroked="f" coordsize="21600,21600" o:gfxdata="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enGk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spacing w:line="240" w:lineRule="auto"/>
                            <w:ind w:firstLine="0" w:firstLineChars="0"/>
                            <w:rPr>
                              <w:sz w:val="21"/>
                            </w:rPr>
                          </w:pPr>
                          <w:r>
                            <w:rPr>
                              <w:rFonts w:hint="eastAsia"/>
                              <w:sz w:val="21"/>
                            </w:rPr>
                            <w:t xml:space="preserve">进水 </w:t>
                          </w:r>
                        </w:p>
                      </w:txbxContent>
                    </v:textbox>
                  </v:shape>
                </v:group>
                <v:line id="Line 29" o:spid="_x0000_s1026" o:spt="20" style="position:absolute;left:3972;top:3712;flip:x;height:1;width:3420;" filled="f" stroked="t" coordsize="21600,21600" o:gfxdata="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YoKDm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line id="Line 30" o:spid="_x0000_s1026" o:spt="20" style="position:absolute;left:3972;top:2308;flip:y;height:1404;width:0;" filled="f" stroked="t" coordsize="21600,21600" o:gfxdata="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ZI2i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31" o:spid="_x0000_s1026" o:spt="20" style="position:absolute;left:3972;top:2308;height:780;width:0;" filled="f" stroked="t" coordsize="21600,21600" o:gfxdata="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WfKvQAA&#10;ANsAAAAPAAAAAAAAAAEAIAAAACIAAABkcnMvZG93bnJldi54bWxQSwECFAAUAAAACACHTuJAMy8F&#10;njsAAAA5AAAAEAAAAAAAAAABACAAAAAMAQAAZHJzL3NoYXBleG1sLnhtbFBLBQYAAAAABgAGAFsB&#10;AAC2AwAAAAA=&#10;">
                  <v:fill on="f" focussize="0,0"/>
                  <v:stroke color="#000000" joinstyle="round" endarrow="classic" endarrowlength="long"/>
                  <v:imagedata o:title=""/>
                  <o:lock v:ext="edit" aspectratio="f"/>
                </v:line>
                <v:group id="Group 32" o:spid="_x0000_s1026" o:spt="203" style="position:absolute;left:4980;top:3652;height:57;width:114;" coordorigin="4980,3652" coordsize="114,57" o:gfxdata="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ZHvCavAAAANsAAAAPAAAAAAAAAAEAIAAAACIAAABkcnMvZG93bnJldi54bWxQ&#10;SwECFAAUAAAACACHTuJAMy8FnjsAAAA5AAAAFQAAAAAAAAABACAAAAALAQAAZHJzL2dyb3Vwc2hh&#10;cGV4bWwueG1sUEsFBgAAAAAGAAYAYAEAAMgDAAAAAA==&#10;">
                  <o:lock v:ext="edit" aspectratio="f"/>
                  <v:line id="Line 33" o:spid="_x0000_s1026" o:spt="20" style="position:absolute;left:4980;top:3652;flip:x y;height:57;width:57;" filled="f" stroked="t" coordsize="21600,21600" o:gfxdata="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i+hHG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line id="Line 34" o:spid="_x0000_s1026" o:spt="20" style="position:absolute;left:5037;top:3652;flip:y;height:57;width:57;" filled="f" stroked="t" coordsize="21600,21600" o:gfxdata="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8BF6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group>
                <v:group id="Group 35" o:spid="_x0000_s1026" o:spt="203" style="position:absolute;left:5457;top:3652;height:57;width:114;" coordorigin="4980,3652" coordsize="114,57" o:gfxdata="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KIFk6L0AAADbAAAADwAAAAAAAAABACAAAAAiAAAAZHJzL2Rvd25yZXYueG1s&#10;UEsBAhQAFAAAAAgAh07iQDMvBZ47AAAAOQAAABUAAAAAAAAAAQAgAAAADAEAAGRycy9ncm91cHNo&#10;YXBleG1sLnhtbFBLBQYAAAAABgAGAGABAADJAwAAAAA=&#10;">
                  <o:lock v:ext="edit" aspectratio="f"/>
                  <v:line id="Line 36" o:spid="_x0000_s1026" o:spt="20" style="position:absolute;left:4980;top:3652;flip:x y;height:57;width:57;" filled="f" stroked="t" coordsize="21600,21600" o:gfxdata="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eFgnK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line id="Line 37" o:spid="_x0000_s1026" o:spt="20" style="position:absolute;left:5037;top:3652;flip:y;height:57;width:57;" filled="f" stroked="t" coordsize="21600,21600" o:gfxdata="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j8b7kugAAANsA&#10;AAAPAAAAAAAAAAEAIAAAACIAAABkcnMvZG93bnJldi54bWxQSwECFAAUAAAACACHTuJAMy8FnjsA&#10;AAA5AAAAEAAAAAAAAAABACAAAAAJAQAAZHJzL3NoYXBleG1sLnhtbFBLBQYAAAAABgAGAFsBAACz&#10;AwAAAAA=&#10;">
                    <v:fill on="f" focussize="0,0"/>
                    <v:stroke color="#000000" joinstyle="round"/>
                    <v:imagedata o:title=""/>
                    <o:lock v:ext="edit" aspectratio="f"/>
                  </v:line>
                </v:group>
                <v:group id="Group 38" o:spid="_x0000_s1026" o:spt="203" style="position:absolute;left:6852;top:3652;height:57;width:114;" coordorigin="4980,3652" coordsize="114,57" o:gfxdata="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I4XkvwAAANsAAAAPAAAAAAAAAAEAIAAAACIAAABkcnMvZG93bnJldi54&#10;bWxQSwECFAAUAAAACACHTuJAMy8FnjsAAAA5AAAAFQAAAAAAAAABACAAAAAOAQAAZHJzL2dyb3Vw&#10;c2hhcGV4bWwueG1sUEsFBgAAAAAGAAYAYAEAAMsDAAAAAA==&#10;">
                  <o:lock v:ext="edit" aspectratio="f"/>
                  <v:line id="Line 39" o:spid="_x0000_s1026" o:spt="20" style="position:absolute;left:4980;top:3652;flip:x y;height:57;width:57;" filled="f" stroked="t" coordsize="21600,21600" o:gfxdata="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gaml7twAAANsAAAAP&#10;AAAAAAAAAAEAIAAAACIAAABkcnMvZG93bnJldi54bWxQSwECFAAUAAAACACHTuJAMy8FnjsAAAA5&#10;AAAAEAAAAAAAAAABACAAAAAGAQAAZHJzL3NoYXBleG1sLnhtbFBLBQYAAAAABgAGAFsBAACwAwAA&#10;AAA=&#10;">
                    <v:fill on="f" focussize="0,0"/>
                    <v:stroke color="#000000" joinstyle="round"/>
                    <v:imagedata o:title=""/>
                    <o:lock v:ext="edit" aspectratio="f"/>
                  </v:line>
                  <v:line id="Line 40" o:spid="_x0000_s1026" o:spt="20" style="position:absolute;left:5037;top:3652;flip:y;height:57;width:57;" filled="f" stroked="t" coordsize="21600,21600" o:gfxdata="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zWQE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group>
                <v:group id="Group 41" o:spid="_x0000_s1026" o:spt="203" style="position:absolute;left:6402;top:3652;height:57;width:114;" coordorigin="4980,3652" coordsize="114,57" o:gfxdata="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xyh2QvwAAANsAAAAPAAAAAAAAAAEAIAAAACIAAABkcnMvZG93bnJldi54&#10;bWxQSwECFAAUAAAACACHTuJAMy8FnjsAAAA5AAAAFQAAAAAAAAABACAAAAAOAQAAZHJzL2dyb3Vw&#10;c2hhcGV4bWwueG1sUEsFBgAAAAAGAAYAYAEAAMsDAAAAAA==&#10;">
                  <o:lock v:ext="edit" aspectratio="f"/>
                  <v:line id="Line 42" o:spid="_x0000_s1026" o:spt="20" style="position:absolute;left:4980;top:3652;flip:x y;height:57;width:57;" filled="f" stroked="t" coordsize="21600,21600" o:gfxdata="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QuPcMugAAANs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Line 43" o:spid="_x0000_s1026" o:spt="20" style="position:absolute;left:5037;top:3652;flip:y;height:57;width:57;" filled="f" stroked="t" coordsize="21600,21600" o:gfxdata="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usec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group>
                <v:group id="Group 44" o:spid="_x0000_s1026" o:spt="203" style="position:absolute;left:5952;top:3646;height:57;width:114;" coordorigin="4980,3652" coordsize="114,57" o:gfxdata="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whxeVvwAAANsAAAAPAAAAAAAAAAEAIAAAACIAAABkcnMvZG93bnJldi54&#10;bWxQSwECFAAUAAAACACHTuJAMy8FnjsAAAA5AAAAFQAAAAAAAAABACAAAAAOAQAAZHJzL2dyb3Vw&#10;c2hhcGV4bWwueG1sUEsFBgAAAAAGAAYAYAEAAMsDAAAAAA==&#10;">
                  <o:lock v:ext="edit" aspectratio="f"/>
                  <v:line id="Line 45" o:spid="_x0000_s1026" o:spt="20" style="position:absolute;left:4980;top:3652;flip:x y;height:57;width:57;" filled="f" stroked="t" coordsize="21600,21600" o:gfxdata="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D8Q+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line id="Line 46" o:spid="_x0000_s1026" o:spt="20" style="position:absolute;left:5037;top:3652;flip:y;height:57;width:57;" filled="f" stroked="t" coordsize="21600,21600" o:gfxdata="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v3zZm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group>
                <v:shape id="Text Box 47" o:spid="_x0000_s1026" o:spt="202" type="#_x0000_t202" style="position:absolute;left:3582;top:1858;height:624;width:900;" filled="f" stroked="f" coordsize="21600,21600" o:gfxdata="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V2T82twAAANsAAAAP&#10;AAAAAAAAAAEAIAAAACIAAABkcnMvZG93bnJldi54bWxQSwECFAAUAAAACACHTuJAMy8FnjsAAAA5&#10;AAAAEAAAAAAAAAABACAAAAAGAQAAZHJzL3NoYXBleG1sLnhtbFBLBQYAAAAABgAGAFsBAACwAwAA&#10;AAA=&#10;">
                  <v:fill on="f" focussize="0,0"/>
                  <v:stroke on="f"/>
                  <v:imagedata o:title=""/>
                  <o:lock v:ext="edit" aspectratio="f"/>
                  <v:textbox>
                    <w:txbxContent>
                      <w:p>
                        <w:pPr>
                          <w:spacing w:line="240" w:lineRule="auto"/>
                          <w:ind w:firstLine="0" w:firstLineChars="0"/>
                          <w:rPr>
                            <w:sz w:val="21"/>
                          </w:rPr>
                        </w:pPr>
                        <w:r>
                          <w:rPr>
                            <w:rFonts w:hint="eastAsia"/>
                            <w:sz w:val="21"/>
                          </w:rPr>
                          <w:t>空气</w:t>
                        </w:r>
                      </w:p>
                    </w:txbxContent>
                  </v:textbox>
                </v:shape>
                <v:line id="Line 48" o:spid="_x0000_s1026" o:spt="20" style="position:absolute;left:4497;top:3565;flip:x;height:1;width:2880;" filled="f" stroked="t" coordsize="21600,21600" o:gfxdata="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FPLZ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49" o:spid="_x0000_s1026" o:spt="20" style="position:absolute;left:4512;top:3400;flip:x;height:0;width:2880;" filled="f" stroked="t" coordsize="21600,21600" o:gfxdata="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GbK6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Line 50" o:spid="_x0000_s1026" o:spt="20" style="position:absolute;left:4512;top:1684;flip:x;height:0;width:2880;" filled="f" stroked="t" coordsize="21600,21600" o:gfxdata="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isk1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51" o:spid="_x0000_s1026" o:spt="20" style="position:absolute;left:4512;top:1684;flip:y;height:1716;width:2880;" filled="f" stroked="t" coordsize="21600,21600" o:gfxdata="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1FB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52" o:spid="_x0000_s1026" o:spt="20" style="position:absolute;left:4512;top:1684;height:1716;width:2880;" filled="f" stroked="t" coordsize="21600,21600" o:gfxdata="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SHK8L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Line 53" o:spid="_x0000_s1026" o:spt="20" style="position:absolute;left:4152;top:1528;flip:x;height:1;width:360;" filled="f" stroked="t" coordsize="21600,21600" o:gfxdata="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Wqt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54" o:spid="_x0000_s1026" o:spt="20" style="position:absolute;left:7392;top:1528;flip:x;height:1;width:360;" filled="f" stroked="t" coordsize="21600,21600" o:gfxdata="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sc82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55" o:spid="_x0000_s1026" o:spt="20" style="position:absolute;left:4152;top:1060;flip:y;height:468;width:1;" filled="f" stroked="t" coordsize="21600,21600" o:gfxdata="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4uW0S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line id="Line 56" o:spid="_x0000_s1026" o:spt="20" style="position:absolute;left:4152;top:1060;height:0;width:3600;" filled="f" stroked="t" coordsize="21600,21600" o:gfxdata="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Kh+w7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Line 57" o:spid="_x0000_s1026" o:spt="20" style="position:absolute;left:7752;top:1060;flip:y;height:468;width:0;" filled="f" stroked="t" coordsize="21600,21600" o:gfxdata="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urlcrsAAADb&#10;AAAADwAAAAAAAAABACAAAAAiAAAAZHJzL2Rvd25yZXYueG1sUEsBAhQAFAAAAAgAh07iQDMvBZ47&#10;AAAAOQAAABAAAAAAAAAAAQAgAAAACgEAAGRycy9zaGFwZXhtbC54bWxQSwUGAAAAAAYABgBbAQAA&#10;tAMAAAAA&#10;">
                  <v:fill on="f" focussize="0,0"/>
                  <v:stroke color="#000000" joinstyle="round"/>
                  <v:imagedata o:title=""/>
                  <o:lock v:ext="edit" aspectratio="f"/>
                </v:line>
                <v:group id="Group 58" o:spid="_x0000_s1026" o:spt="203" style="position:absolute;left:4305;top:1125;height:213;width:3252;" coordorigin="4305,900" coordsize="3252,213" o:gfxdata="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le2c5r0AAADbAAAADwAAAAAAAAABACAAAAAiAAAAZHJzL2Rvd25yZXYueG1s&#10;UEsBAhQAFAAAAAgAh07iQDMvBZ47AAAAOQAAABUAAAAAAAAAAQAgAAAADAEAAGRycy9ncm91cHNo&#10;YXBleG1sLnhtbFBLBQYAAAAABgAGAGABAADJAwAAAAA=&#10;">
                  <o:lock v:ext="edit" aspectratio="f"/>
                  <v:line id="Line 59" o:spid="_x0000_s1026" o:spt="20" style="position:absolute;left:4512;top:904;height:1;width:2880;" filled="f" stroked="t" coordsize="21600,21600" o:gfxdata="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ANQyy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shape id="Freeform 60" o:spid="_x0000_s1026" o:spt="100" style="position:absolute;left:4305;top:906;height:189;width:201;" filled="f" stroked="t" coordsize="201,189" o:gfxdata="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B8VWW/&#10;AAAA2wAAAA8AAAAAAAAAAQAgAAAAIgAAAGRycy9kb3ducmV2LnhtbFBLAQIUABQAAAAIAIdO4kAz&#10;LwWeOwAAADkAAAAQAAAAAAAAAAEAIAAAAA4BAABkcnMvc2hhcGV4bWwueG1sUEsFBgAAAAAGAAYA&#10;WwEAALgDAAAAAA==&#10;" path="m201,0c172,1,143,1,114,3c101,4,78,21,78,21c69,34,55,39,45,51c5,102,0,121,0,189e">
                    <v:path o:connectlocs="201,0;114,3;78,21;45,51;0,189" o:connectangles="0,0,0,0,0"/>
                    <v:fill on="f" focussize="0,0"/>
                    <v:stroke color="#000000" joinstyle="round"/>
                    <v:imagedata o:title=""/>
                    <o:lock v:ext="edit" aspectratio="f"/>
                  </v:shape>
                  <v:shape id="Freeform 61" o:spid="_x0000_s1026" o:spt="100" style="position:absolute;left:7398;top:900;height:213;width:159;" filled="f" stroked="t" coordsize="159,213" o:gfxdata="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jENjvQAA&#10;ANsAAAAPAAAAAAAAAAEAIAAAACIAAABkcnMvZG93bnJldi54bWxQSwECFAAUAAAACACHTuJAMy8F&#10;njsAAAA5AAAAEAAAAAAAAAABACAAAAAMAQAAZHJzL3NoYXBleG1sLnhtbFBLBQYAAAAABgAGAFsB&#10;AAC2AwAAAAA=&#10;" path="m0,0c14,2,35,5,48,12c54,16,60,20,66,24c69,26,75,30,75,30c89,51,81,44,96,54c104,66,116,77,126,87c133,109,159,136,159,159c159,177,159,195,159,213e">
                    <v:path o:connectlocs="0,0;48,12;66,24;75,30;96,54;126,87;159,159;159,213" o:connectangles="0,0,0,0,0,0,0,0"/>
                    <v:fill on="f" focussize="0,0"/>
                    <v:stroke color="#000000" joinstyle="round"/>
                    <v:imagedata o:title=""/>
                    <o:lock v:ext="edit" aspectratio="f"/>
                  </v:shape>
                </v:group>
                <v:line id="Line 62" o:spid="_x0000_s1026" o:spt="20" style="position:absolute;left:4152;top:1372;height:0;width:360;" filled="f" stroked="t" coordsize="21600,21600" o:gfxdata="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UBJKbsAAADb&#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Line 63" o:spid="_x0000_s1026" o:spt="20" style="position:absolute;left:7392;top:1372;height:0;width:360;" filled="f" stroked="t" coordsize="21600,21600" o:gfxdata="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4M7LK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Line 64" o:spid="_x0000_s1026" o:spt="20" style="position:absolute;left:7572;top:1528;height:156;width:0;" filled="f" stroked="t" coordsize="21600,21600" o:gfxdata="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K79PyugAAANs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Line 65" o:spid="_x0000_s1026" o:spt="20" style="position:absolute;left:7572;top:1684;height:0;width:540;" filled="f" stroked="t" coordsize="21600,21600" o:gfxdata="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2aaHvQAA&#10;ANsAAAAPAAAAAAAAAAEAIAAAACIAAABkcnMvZG93bnJldi54bWxQSwECFAAUAAAACACHTuJAMy8F&#10;njsAAAA5AAAAEAAAAAAAAAABACAAAAAMAQAAZHJzL3NoYXBleG1sLnhtbFBLBQYAAAAABgAGAFsB&#10;AAC2AwAAAAA=&#10;">
                  <v:fill on="f" focussize="0,0"/>
                  <v:stroke color="#000000" joinstyle="round" endarrow="classic" endarrowlength="long"/>
                  <v:imagedata o:title=""/>
                  <o:lock v:ext="edit" aspectratio="f"/>
                </v:line>
                <v:shape id="Text Box 66" o:spid="_x0000_s1026" o:spt="202" type="#_x0000_t202" style="position:absolute;left:8052;top:1363;height:624;width:1080;" filled="f" stroked="f" coordsize="21600,21600" o:gfxdata="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f6+QL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spacing w:line="240" w:lineRule="auto"/>
                          <w:ind w:firstLine="0" w:firstLineChars="0"/>
                          <w:rPr>
                            <w:sz w:val="21"/>
                            <w:szCs w:val="21"/>
                          </w:rPr>
                        </w:pPr>
                        <w:r>
                          <w:rPr>
                            <w:rFonts w:hint="eastAsia"/>
                            <w:sz w:val="21"/>
                            <w:szCs w:val="21"/>
                          </w:rPr>
                          <w:t>出水</w:t>
                        </w:r>
                      </w:p>
                    </w:txbxContent>
                  </v:textbox>
                </v:shape>
                <v:line id="Line 67" o:spid="_x0000_s1026" o:spt="20" style="position:absolute;left:6132;top:1216;height:1;width:540;" filled="f" stroked="t" coordsize="21600,21600" o:gfxdata="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j1Nhb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Line 68" o:spid="_x0000_s1026" o:spt="20" style="position:absolute;left:6237;top:1297;height:1;width:360;" filled="f" stroked="t" coordsize="21600,21600" o:gfxdata="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XU1fG/&#10;AAAA2w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Line 69" o:spid="_x0000_s1026" o:spt="20" style="position:absolute;left:6342;top:1378;height:1;width:180;" filled="f" stroked="t" coordsize="21600,21600" o:gfxdata="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kruHb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Line 70" o:spid="_x0000_s1026" o:spt="20" style="position:absolute;left:7032;top:592;flip:y;height:780;width:540;" filled="f" stroked="t" coordsize="21600,21600" o:gfxdata="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QIday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shape id="Text Box 71" o:spid="_x0000_s1026" o:spt="202" type="#_x0000_t202" style="position:absolute;left:7422;top:130;height:624;width:1800;" filled="f" stroked="f" coordsize="21600,21600" o:gfxdata="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iwx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spacing w:line="240" w:lineRule="auto"/>
                          <w:ind w:firstLine="0" w:firstLineChars="0"/>
                        </w:pPr>
                        <w:r>
                          <w:rPr>
                            <w:rFonts w:hint="eastAsia"/>
                            <w:sz w:val="21"/>
                          </w:rPr>
                          <w:t>稳定水层</w:t>
                        </w:r>
                      </w:p>
                    </w:txbxContent>
                  </v:textbox>
                </v:shape>
                <v:line id="Line 72" o:spid="_x0000_s1026" o:spt="20" style="position:absolute;left:7392;top:2464;height:0;width:360;" filled="f" stroked="t" coordsize="21600,21600" o:gfxdata="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P2ZJ7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shape id="Text Box 73" o:spid="_x0000_s1026" o:spt="202" type="#_x0000_t202" style="position:absolute;left:7647;top:2143;height:624;width:1260;" filled="f" stroked="f" coordsize="21600,21600" o:gfxdata="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UK99r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spacing w:line="240" w:lineRule="auto"/>
                          <w:ind w:firstLine="0" w:firstLineChars="0"/>
                          <w:rPr>
                            <w:sz w:val="21"/>
                          </w:rPr>
                        </w:pPr>
                        <w:r>
                          <w:rPr>
                            <w:rFonts w:hint="eastAsia"/>
                            <w:sz w:val="21"/>
                          </w:rPr>
                          <w:t>池体</w:t>
                        </w:r>
                      </w:p>
                    </w:txbxContent>
                  </v:textbox>
                </v:shape>
                <v:line id="Line 74" o:spid="_x0000_s1026" o:spt="20" style="position:absolute;left:6852;top:2977;height:1;width:900;" filled="f" stroked="t" coordsize="21600,21600" o:gfxdata="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2Oiy7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shape id="Text Box 75" o:spid="_x0000_s1026" o:spt="202" type="#_x0000_t202" style="position:absolute;left:7662;top:2671;height:624;width:1260;" filled="f" stroked="f" coordsize="21600,21600" o:gfxdata="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rchhq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spacing w:line="240" w:lineRule="auto"/>
                          <w:ind w:firstLine="0" w:firstLineChars="0"/>
                        </w:pPr>
                        <w:r>
                          <w:rPr>
                            <w:rFonts w:hint="eastAsia"/>
                            <w:sz w:val="21"/>
                            <w:szCs w:val="21"/>
                          </w:rPr>
                          <w:t>填料</w:t>
                        </w:r>
                      </w:p>
                    </w:txbxContent>
                  </v:textbox>
                </v:shape>
                <v:line id="Line 76" o:spid="_x0000_s1026" o:spt="20" style="position:absolute;left:7212;top:3460;height:156;width:540;" filled="f" stroked="t" coordsize="21600,21600" o:gfxdata="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bxp8k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shape id="Text Box 77" o:spid="_x0000_s1026" o:spt="202" type="#_x0000_t202" style="position:absolute;left:7647;top:3280;height:624;width:1440;" filled="f" stroked="f" coordsize="21600,21600" o:gfxdata="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nm79b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spacing w:line="240" w:lineRule="auto"/>
                          <w:ind w:firstLine="0" w:firstLineChars="0"/>
                          <w:rPr>
                            <w:sz w:val="21"/>
                          </w:rPr>
                        </w:pPr>
                        <w:r>
                          <w:rPr>
                            <w:rFonts w:hint="eastAsia"/>
                            <w:sz w:val="21"/>
                          </w:rPr>
                          <w:t>格棚支架</w:t>
                        </w:r>
                      </w:p>
                    </w:txbxContent>
                  </v:textbox>
                </v:shape>
                <v:line id="Line 78" o:spid="_x0000_s1026" o:spt="20" style="position:absolute;left:7032;top:3712;height:624;width:720;" filled="f" stroked="t" coordsize="21600,21600" o:gfxdata="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RYpMi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Line 79" o:spid="_x0000_s1026" o:spt="20" style="position:absolute;left:3792;top:1060;flip:x y;height:312;width:540;" filled="f" stroked="t" coordsize="21600,21600" o:gfxdata="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jF8k/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shape id="Text Box 80" o:spid="_x0000_s1026" o:spt="202" type="#_x0000_t202" style="position:absolute;left:2937;top:586;height:624;width:1260;" filled="f" stroked="f" coordsize="21600,21600" o:gfxdata="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BJtVy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spacing w:line="240" w:lineRule="auto"/>
                          <w:ind w:firstLine="0" w:firstLineChars="0"/>
                          <w:rPr>
                            <w:sz w:val="21"/>
                          </w:rPr>
                        </w:pPr>
                        <w:r>
                          <w:rPr>
                            <w:rFonts w:hint="eastAsia"/>
                            <w:sz w:val="21"/>
                          </w:rPr>
                          <w:t>出水渠</w:t>
                        </w:r>
                      </w:p>
                    </w:txbxContent>
                  </v:textbox>
                </v:shape>
              </v:group>
            </w:pict>
          </mc:Fallback>
        </mc:AlternateContent>
      </w:r>
    </w:p>
    <w:p>
      <w:pPr>
        <w:ind w:firstLine="480"/>
        <w:rPr>
          <w:rFonts w:cs="Times New Roman"/>
        </w:rPr>
      </w:pPr>
    </w:p>
    <w:p>
      <w:pPr>
        <w:ind w:firstLine="480"/>
        <w:rPr>
          <w:rFonts w:cs="Times New Roman"/>
        </w:rPr>
      </w:pPr>
    </w:p>
    <w:p>
      <w:pPr>
        <w:ind w:firstLine="480"/>
        <w:rPr>
          <w:rFonts w:cs="Times New Roman"/>
        </w:rPr>
      </w:pPr>
    </w:p>
    <w:p>
      <w:pPr>
        <w:ind w:firstLine="480"/>
        <w:jc w:val="center"/>
        <w:rPr>
          <w:rFonts w:cs="Times New Roman"/>
        </w:rPr>
      </w:pPr>
    </w:p>
    <w:p>
      <w:pPr>
        <w:ind w:firstLine="480"/>
        <w:jc w:val="center"/>
        <w:rPr>
          <w:rFonts w:cs="Times New Roman"/>
        </w:rPr>
      </w:pPr>
    </w:p>
    <w:p>
      <w:pPr>
        <w:ind w:firstLine="480"/>
        <w:jc w:val="center"/>
        <w:rPr>
          <w:rFonts w:cs="Times New Roman"/>
        </w:rPr>
      </w:pPr>
    </w:p>
    <w:p>
      <w:pPr>
        <w:ind w:firstLine="480"/>
        <w:rPr>
          <w:rFonts w:cs="Times New Roman"/>
        </w:rPr>
      </w:pPr>
      <w:r>
        <mc:AlternateContent>
          <mc:Choice Requires="wps">
            <w:drawing>
              <wp:anchor distT="0" distB="0" distL="114300" distR="114300" simplePos="0" relativeHeight="251673600" behindDoc="0" locked="0" layoutInCell="1" allowOverlap="1">
                <wp:simplePos x="0" y="0"/>
                <wp:positionH relativeFrom="column">
                  <wp:posOffset>3613785</wp:posOffset>
                </wp:positionH>
                <wp:positionV relativeFrom="paragraph">
                  <wp:posOffset>257175</wp:posOffset>
                </wp:positionV>
                <wp:extent cx="733425" cy="318770"/>
                <wp:effectExtent l="0" t="0" r="0" b="0"/>
                <wp:wrapNone/>
                <wp:docPr id="80" name="Text Box 19"/>
                <wp:cNvGraphicFramePr/>
                <a:graphic xmlns:a="http://schemas.openxmlformats.org/drawingml/2006/main">
                  <a:graphicData uri="http://schemas.microsoft.com/office/word/2010/wordprocessingShape">
                    <wps:wsp>
                      <wps:cNvSpPr txBox="1"/>
                      <wps:spPr>
                        <a:xfrm>
                          <a:off x="4883150" y="1544320"/>
                          <a:ext cx="733425" cy="318770"/>
                        </a:xfrm>
                        <a:prstGeom prst="rect">
                          <a:avLst/>
                        </a:prstGeom>
                        <a:noFill/>
                        <a:ln>
                          <a:noFill/>
                        </a:ln>
                        <a:effectLst/>
                      </wps:spPr>
                      <wps:txbx>
                        <w:txbxContent>
                          <w:p>
                            <w:pPr>
                              <w:spacing w:line="240" w:lineRule="auto"/>
                              <w:ind w:firstLine="0" w:firstLineChars="0"/>
                              <w:rPr>
                                <w:sz w:val="21"/>
                              </w:rPr>
                            </w:pPr>
                            <w:r>
                              <w:rPr>
                                <w:rFonts w:hint="eastAsia"/>
                                <w:sz w:val="21"/>
                              </w:rPr>
                              <w:t>布气装置</w:t>
                            </w:r>
                          </w:p>
                        </w:txbxContent>
                      </wps:txbx>
                      <wps:bodyPr vert="horz" anchor="t" upright="1"/>
                    </wps:wsp>
                  </a:graphicData>
                </a:graphic>
              </wp:anchor>
            </w:drawing>
          </mc:Choice>
          <mc:Fallback>
            <w:pict>
              <v:shape id="Text Box 19" o:spid="_x0000_s1026" o:spt="202" type="#_x0000_t202" style="position:absolute;left:0pt;margin-left:284.55pt;margin-top:20.25pt;height:25.1pt;width:57.75pt;z-index:251673600;mso-width-relative:page;mso-height-relative:page;" filled="f" stroked="f" coordsize="21600,21600" o:gfxdata="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ofX5YtYAAAAJAQAADwAAAAAAAAABACAAAAAiAAAAZHJzL2Rvd25yZXYueG1sUEsB&#10;AhQAFAAAAAgAh07iQJVHmJS+AQAAfwMAAA4AAAAAAAAAAQAgAAAAJQEAAGRycy9lMm9Eb2MueG1s&#10;UEsFBgAAAAAGAAYAWQEAAFUFAAAAAA==&#10;">
                <v:fill on="f" focussize="0,0"/>
                <v:stroke on="f"/>
                <v:imagedata o:title=""/>
                <o:lock v:ext="edit" aspectratio="f"/>
                <v:textbox>
                  <w:txbxContent>
                    <w:p>
                      <w:pPr>
                        <w:spacing w:line="240" w:lineRule="auto"/>
                        <w:ind w:firstLine="0" w:firstLineChars="0"/>
                        <w:rPr>
                          <w:sz w:val="21"/>
                        </w:rPr>
                      </w:pPr>
                      <w:r>
                        <w:rPr>
                          <w:rFonts w:hint="eastAsia"/>
                          <w:sz w:val="21"/>
                        </w:rPr>
                        <w:t>布气装置</w:t>
                      </w:r>
                    </w:p>
                  </w:txbxContent>
                </v:textbox>
              </v:shape>
            </w:pict>
          </mc:Fallback>
        </mc:AlternateContent>
      </w:r>
    </w:p>
    <w:p>
      <w:pPr>
        <w:ind w:firstLine="480"/>
        <w:rPr>
          <w:rFonts w:cs="Times New Roman"/>
        </w:rPr>
      </w:pPr>
    </w:p>
    <w:p>
      <w:pPr>
        <w:ind w:firstLine="0" w:firstLineChars="0"/>
        <w:jc w:val="center"/>
        <w:rPr>
          <w:rFonts w:eastAsia="黑体" w:cs="Times New Roman"/>
          <w:sz w:val="21"/>
        </w:rPr>
      </w:pPr>
      <w:r>
        <w:rPr>
          <w:rFonts w:eastAsia="黑体" w:cs="Times New Roman"/>
          <w:sz w:val="21"/>
        </w:rPr>
        <w:t>图5-9  生物接触氧化池示意图</w:t>
      </w:r>
    </w:p>
    <w:p>
      <w:pPr>
        <w:ind w:firstLine="480"/>
        <w:rPr>
          <w:rFonts w:cs="Times New Roman"/>
        </w:rPr>
      </w:pPr>
      <w:r>
        <w:rPr>
          <w:rFonts w:cs="Times New Roman"/>
        </w:rPr>
        <w:t>生物接触氧化工艺的设计应参考《生物接触氧化法污水处理工程技术规范》（HJ 2009-2011），应着重考虑以下内容：</w:t>
      </w:r>
    </w:p>
    <w:p>
      <w:pPr>
        <w:ind w:firstLine="480"/>
        <w:rPr>
          <w:rFonts w:cs="Times New Roman"/>
        </w:rPr>
      </w:pPr>
      <w:r>
        <w:rPr>
          <w:rFonts w:cs="Times New Roman"/>
        </w:rPr>
        <w:t>①进水水温应控制在12℃～37℃，水温超出范围，应考虑设置加热或冷却系统，水温较高时，生物处理单元水力停留时间宜取低值，水温较低时，水力停留时间宜取高值。</w:t>
      </w:r>
    </w:p>
    <w:p>
      <w:pPr>
        <w:ind w:firstLine="480"/>
        <w:rPr>
          <w:rFonts w:cs="Times New Roman"/>
        </w:rPr>
      </w:pPr>
      <w:r>
        <w:rPr>
          <w:rFonts w:cs="Times New Roman"/>
        </w:rPr>
        <w:t>②pH宜为6～9，污水营养组合比（BOD</w:t>
      </w:r>
      <w:r>
        <w:rPr>
          <w:rFonts w:cs="Times New Roman"/>
          <w:vertAlign w:val="subscript"/>
        </w:rPr>
        <w:t>5</w:t>
      </w:r>
      <w:r>
        <w:rPr>
          <w:rFonts w:cs="Times New Roman"/>
        </w:rPr>
        <w:t>:氮:磷）宜为100:5:1，当氮磷比例小于营养组合比时，应适当补充氮磷。</w:t>
      </w:r>
    </w:p>
    <w:p>
      <w:pPr>
        <w:ind w:firstLine="480"/>
        <w:rPr>
          <w:rFonts w:cs="Times New Roman"/>
        </w:rPr>
      </w:pPr>
      <w:r>
        <w:rPr>
          <w:rFonts w:cs="Times New Roman"/>
        </w:rPr>
        <w:t>③当主要去除COD、氨氮时，进水总碱度（以CaCO</w:t>
      </w:r>
      <w:r>
        <w:rPr>
          <w:rFonts w:cs="Times New Roman"/>
          <w:vertAlign w:val="subscript"/>
        </w:rPr>
        <w:t>3</w:t>
      </w:r>
      <w:r>
        <w:rPr>
          <w:rFonts w:cs="Times New Roman"/>
        </w:rPr>
        <w:t>计）/氨氮（NH</w:t>
      </w:r>
      <w:r>
        <w:rPr>
          <w:rFonts w:cs="Times New Roman"/>
          <w:vertAlign w:val="subscript"/>
        </w:rPr>
        <w:t>3</w:t>
      </w:r>
      <w:r>
        <w:rPr>
          <w:rFonts w:cs="Times New Roman"/>
        </w:rPr>
        <w:t>-N）的比值不宜小于7.14，且好氧池剩余碱度宜大于70mg/L；当需要去除总氮时，进水BOD</w:t>
      </w:r>
      <w:r>
        <w:rPr>
          <w:rFonts w:cs="Times New Roman"/>
          <w:vertAlign w:val="subscript"/>
        </w:rPr>
        <w:t>5</w:t>
      </w:r>
      <w:r>
        <w:rPr>
          <w:rFonts w:cs="Times New Roman"/>
        </w:rPr>
        <w:t>/总凯氏氮的比值应大于4.0。</w:t>
      </w:r>
    </w:p>
    <w:p>
      <w:pPr>
        <w:ind w:firstLine="480"/>
        <w:rPr>
          <w:rFonts w:cs="Times New Roman"/>
        </w:rPr>
      </w:pPr>
      <w:r>
        <w:rPr>
          <w:rFonts w:cs="Times New Roman"/>
        </w:rPr>
        <w:t>④针对农村的特征，用于处理村庄污水的生物接触氧化池的负荷宜小于城市污水处理厂，由于村庄污水具有分散性的特点，特别是小规模的处理设施往往不能每天进行专业维护管理，因此，适当将BOD负荷降低。</w:t>
      </w:r>
    </w:p>
    <w:p>
      <w:pPr>
        <w:ind w:firstLine="420"/>
        <w:jc w:val="center"/>
        <w:rPr>
          <w:rFonts w:eastAsia="黑体" w:cs="Times New Roman"/>
          <w:sz w:val="21"/>
        </w:rPr>
      </w:pPr>
      <w:r>
        <w:rPr>
          <w:rFonts w:eastAsia="黑体" w:cs="Times New Roman"/>
          <w:sz w:val="21"/>
        </w:rPr>
        <w:t>表5-10  生物接触氧化池BOD</w:t>
      </w:r>
      <w:r>
        <w:rPr>
          <w:rFonts w:eastAsia="黑体" w:cs="Times New Roman"/>
          <w:sz w:val="21"/>
          <w:vertAlign w:val="subscript"/>
        </w:rPr>
        <w:t>5</w:t>
      </w:r>
      <w:r>
        <w:rPr>
          <w:rFonts w:eastAsia="黑体" w:cs="Times New Roman"/>
          <w:sz w:val="21"/>
        </w:rPr>
        <w:t>容积负荷参数</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07"/>
        <w:gridCol w:w="1600"/>
        <w:gridCol w:w="1656"/>
        <w:gridCol w:w="1558"/>
        <w:gridCol w:w="14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432" w:type="pct"/>
            <w:gridSpan w:val="2"/>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eastAsia="宋体" w:cs="Times New Roman"/>
                <w:kern w:val="0"/>
                <w:sz w:val="21"/>
                <w:szCs w:val="20"/>
              </w:rPr>
            </w:pPr>
            <w:r>
              <w:rPr>
                <w:rFonts w:hint="default" w:ascii="Times New Roman" w:hAnsi="Times New Roman" w:eastAsia="宋体" w:cs="Times New Roman"/>
                <w:kern w:val="0"/>
                <w:sz w:val="21"/>
                <w:szCs w:val="20"/>
              </w:rPr>
              <w:t>处理能力（m</w:t>
            </w:r>
            <w:r>
              <w:rPr>
                <w:rFonts w:hint="default" w:ascii="Times New Roman" w:hAnsi="Times New Roman" w:eastAsia="宋体" w:cs="Times New Roman"/>
                <w:kern w:val="0"/>
                <w:sz w:val="21"/>
                <w:szCs w:val="20"/>
                <w:vertAlign w:val="superscript"/>
              </w:rPr>
              <w:t>3</w:t>
            </w:r>
            <w:r>
              <w:rPr>
                <w:rFonts w:hint="default" w:ascii="Times New Roman" w:hAnsi="Times New Roman" w:eastAsia="宋体" w:cs="Times New Roman"/>
                <w:kern w:val="0"/>
                <w:sz w:val="21"/>
                <w:szCs w:val="20"/>
              </w:rPr>
              <w:t>/d）</w:t>
            </w:r>
          </w:p>
        </w:tc>
        <w:tc>
          <w:tcPr>
            <w:tcW w:w="91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eastAsia="宋体" w:cs="Times New Roman"/>
                <w:kern w:val="0"/>
                <w:sz w:val="21"/>
                <w:szCs w:val="20"/>
              </w:rPr>
            </w:pPr>
            <w:r>
              <w:rPr>
                <w:rFonts w:hint="default" w:ascii="Times New Roman" w:hAnsi="Times New Roman" w:eastAsia="宋体" w:cs="Times New Roman"/>
                <w:kern w:val="0"/>
                <w:sz w:val="21"/>
                <w:szCs w:val="20"/>
              </w:rPr>
              <w:t>0.1-5</w:t>
            </w:r>
          </w:p>
        </w:tc>
        <w:tc>
          <w:tcPr>
            <w:tcW w:w="86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eastAsia="宋体" w:cs="Times New Roman"/>
                <w:kern w:val="0"/>
                <w:sz w:val="21"/>
                <w:szCs w:val="20"/>
              </w:rPr>
            </w:pPr>
            <w:r>
              <w:rPr>
                <w:rFonts w:hint="default" w:ascii="Times New Roman" w:hAnsi="Times New Roman" w:eastAsia="宋体" w:cs="Times New Roman"/>
                <w:kern w:val="0"/>
                <w:sz w:val="21"/>
                <w:szCs w:val="20"/>
              </w:rPr>
              <w:t>5-20</w:t>
            </w:r>
          </w:p>
        </w:tc>
        <w:tc>
          <w:tcPr>
            <w:tcW w:w="79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eastAsia="宋体" w:cs="Times New Roman"/>
                <w:kern w:val="0"/>
                <w:sz w:val="21"/>
                <w:szCs w:val="20"/>
              </w:rPr>
            </w:pPr>
            <w:r>
              <w:rPr>
                <w:rFonts w:hint="default" w:ascii="Times New Roman" w:hAnsi="Times New Roman" w:eastAsia="宋体" w:cs="Times New Roman"/>
                <w:kern w:val="0"/>
                <w:sz w:val="21"/>
                <w:szCs w:val="20"/>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432" w:type="pct"/>
            <w:gridSpan w:val="2"/>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eastAsia="宋体" w:cs="Times New Roman"/>
                <w:kern w:val="0"/>
                <w:sz w:val="21"/>
                <w:szCs w:val="20"/>
              </w:rPr>
            </w:pPr>
            <w:r>
              <w:rPr>
                <w:rFonts w:hint="default" w:ascii="Times New Roman" w:hAnsi="Times New Roman" w:eastAsia="宋体" w:cs="Times New Roman"/>
                <w:kern w:val="0"/>
                <w:sz w:val="21"/>
                <w:szCs w:val="20"/>
              </w:rPr>
              <w:t>好氧池Ⅰ（</w:t>
            </w:r>
            <w:r>
              <w:rPr>
                <w:rFonts w:hint="default" w:ascii="Times New Roman" w:hAnsi="Times New Roman" w:eastAsia="宋体" w:cs="Times New Roman"/>
                <w:kern w:val="0"/>
                <w:sz w:val="21"/>
                <w:szCs w:val="18"/>
              </w:rPr>
              <w:t>kg BOD</w:t>
            </w:r>
            <w:r>
              <w:rPr>
                <w:rFonts w:hint="default" w:ascii="Times New Roman" w:hAnsi="Times New Roman" w:eastAsia="宋体" w:cs="Times New Roman"/>
                <w:kern w:val="0"/>
                <w:sz w:val="21"/>
                <w:szCs w:val="18"/>
                <w:vertAlign w:val="subscript"/>
              </w:rPr>
              <w:t>5</w:t>
            </w:r>
            <w:r>
              <w:rPr>
                <w:rFonts w:hint="default" w:ascii="Times New Roman" w:hAnsi="Times New Roman" w:eastAsia="宋体" w:cs="Times New Roman"/>
                <w:kern w:val="0"/>
                <w:sz w:val="21"/>
                <w:szCs w:val="18"/>
              </w:rPr>
              <w:t>/(m</w:t>
            </w:r>
            <w:r>
              <w:rPr>
                <w:rFonts w:hint="default" w:ascii="Times New Roman" w:hAnsi="Times New Roman" w:eastAsia="宋体" w:cs="Times New Roman"/>
                <w:kern w:val="0"/>
                <w:sz w:val="21"/>
                <w:szCs w:val="18"/>
                <w:vertAlign w:val="superscript"/>
              </w:rPr>
              <w:t>3</w:t>
            </w:r>
            <w:r>
              <w:rPr>
                <w:rFonts w:hint="default" w:ascii="Times New Roman" w:hAnsi="Times New Roman" w:eastAsia="宋体" w:cs="Times New Roman"/>
                <w:kern w:val="0"/>
                <w:sz w:val="21"/>
                <w:szCs w:val="18"/>
              </w:rPr>
              <w:t>·d)</w:t>
            </w:r>
            <w:r>
              <w:rPr>
                <w:rFonts w:hint="default" w:ascii="Times New Roman" w:hAnsi="Times New Roman" w:eastAsia="宋体" w:cs="Times New Roman"/>
                <w:kern w:val="0"/>
                <w:sz w:val="21"/>
                <w:szCs w:val="20"/>
              </w:rPr>
              <w:t>）</w:t>
            </w:r>
          </w:p>
        </w:tc>
        <w:tc>
          <w:tcPr>
            <w:tcW w:w="91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eastAsia="宋体" w:cs="Times New Roman"/>
                <w:kern w:val="0"/>
                <w:sz w:val="21"/>
                <w:szCs w:val="20"/>
              </w:rPr>
            </w:pPr>
            <w:r>
              <w:rPr>
                <w:rFonts w:hint="default" w:ascii="Times New Roman" w:hAnsi="Times New Roman" w:eastAsia="宋体" w:cs="Times New Roman"/>
                <w:kern w:val="0"/>
                <w:sz w:val="21"/>
                <w:szCs w:val="20"/>
              </w:rPr>
              <w:t>0.15-0.18</w:t>
            </w:r>
          </w:p>
        </w:tc>
        <w:tc>
          <w:tcPr>
            <w:tcW w:w="86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eastAsia="宋体" w:cs="Times New Roman"/>
                <w:kern w:val="0"/>
                <w:sz w:val="21"/>
                <w:szCs w:val="20"/>
              </w:rPr>
            </w:pPr>
            <w:r>
              <w:rPr>
                <w:rFonts w:hint="default" w:ascii="Times New Roman" w:hAnsi="Times New Roman" w:eastAsia="宋体" w:cs="Times New Roman"/>
                <w:kern w:val="0"/>
                <w:sz w:val="21"/>
                <w:szCs w:val="20"/>
              </w:rPr>
              <w:t>0.20-0.22</w:t>
            </w:r>
          </w:p>
        </w:tc>
        <w:tc>
          <w:tcPr>
            <w:tcW w:w="79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eastAsia="宋体" w:cs="Times New Roman"/>
                <w:kern w:val="0"/>
                <w:sz w:val="21"/>
                <w:szCs w:val="20"/>
              </w:rPr>
            </w:pPr>
            <w:r>
              <w:rPr>
                <w:rFonts w:hint="default" w:ascii="Times New Roman" w:hAnsi="Times New Roman" w:eastAsia="宋体" w:cs="Times New Roman"/>
                <w:kern w:val="0"/>
                <w:sz w:val="21"/>
                <w:szCs w:val="20"/>
              </w:rPr>
              <w:t>0.20-0.25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49" w:type="pct"/>
            <w:vMerge w:val="restar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eastAsia="宋体" w:cs="Times New Roman"/>
                <w:kern w:val="0"/>
                <w:sz w:val="21"/>
                <w:szCs w:val="20"/>
              </w:rPr>
            </w:pPr>
            <w:r>
              <w:rPr>
                <w:rFonts w:hint="default" w:ascii="Times New Roman" w:hAnsi="Times New Roman" w:eastAsia="宋体" w:cs="Times New Roman"/>
                <w:kern w:val="0"/>
                <w:sz w:val="21"/>
                <w:szCs w:val="20"/>
              </w:rPr>
              <w:t>缺氧池+好氧池</w:t>
            </w:r>
          </w:p>
          <w:p>
            <w:pPr>
              <w:spacing w:line="240" w:lineRule="auto"/>
              <w:ind w:firstLine="0" w:firstLineChars="0"/>
              <w:jc w:val="center"/>
              <w:rPr>
                <w:rFonts w:hint="default" w:ascii="Times New Roman" w:hAnsi="Times New Roman" w:eastAsia="宋体" w:cs="Times New Roman"/>
                <w:kern w:val="0"/>
                <w:sz w:val="21"/>
                <w:szCs w:val="20"/>
              </w:rPr>
            </w:pPr>
            <w:r>
              <w:rPr>
                <w:rFonts w:hint="default" w:ascii="Times New Roman" w:hAnsi="Times New Roman" w:eastAsia="宋体" w:cs="Times New Roman"/>
                <w:kern w:val="0"/>
                <w:sz w:val="21"/>
                <w:szCs w:val="20"/>
              </w:rPr>
              <w:t>（</w:t>
            </w:r>
            <w:r>
              <w:rPr>
                <w:rFonts w:hint="default" w:ascii="Times New Roman" w:hAnsi="Times New Roman" w:eastAsia="宋体" w:cs="Times New Roman"/>
                <w:kern w:val="0"/>
                <w:sz w:val="21"/>
                <w:szCs w:val="18"/>
              </w:rPr>
              <w:t>kg BOD</w:t>
            </w:r>
            <w:r>
              <w:rPr>
                <w:rFonts w:hint="default" w:ascii="Times New Roman" w:hAnsi="Times New Roman" w:eastAsia="宋体" w:cs="Times New Roman"/>
                <w:kern w:val="0"/>
                <w:sz w:val="21"/>
                <w:szCs w:val="18"/>
                <w:vertAlign w:val="subscript"/>
              </w:rPr>
              <w:t>5</w:t>
            </w:r>
            <w:r>
              <w:rPr>
                <w:rFonts w:hint="default" w:ascii="Times New Roman" w:hAnsi="Times New Roman" w:eastAsia="宋体" w:cs="Times New Roman"/>
                <w:kern w:val="0"/>
                <w:sz w:val="21"/>
                <w:szCs w:val="18"/>
              </w:rPr>
              <w:t>/(m</w:t>
            </w:r>
            <w:r>
              <w:rPr>
                <w:rFonts w:hint="default" w:ascii="Times New Roman" w:hAnsi="Times New Roman" w:eastAsia="宋体" w:cs="Times New Roman"/>
                <w:kern w:val="0"/>
                <w:sz w:val="21"/>
                <w:szCs w:val="18"/>
                <w:vertAlign w:val="superscript"/>
              </w:rPr>
              <w:t>3</w:t>
            </w:r>
            <w:r>
              <w:rPr>
                <w:rFonts w:hint="default" w:ascii="Times New Roman" w:hAnsi="Times New Roman" w:eastAsia="宋体" w:cs="Times New Roman"/>
                <w:kern w:val="0"/>
                <w:sz w:val="21"/>
                <w:szCs w:val="18"/>
              </w:rPr>
              <w:t>·d)</w:t>
            </w:r>
            <w:r>
              <w:rPr>
                <w:rFonts w:hint="default" w:ascii="Times New Roman" w:hAnsi="Times New Roman" w:eastAsia="宋体" w:cs="Times New Roman"/>
                <w:kern w:val="0"/>
                <w:sz w:val="21"/>
                <w:szCs w:val="20"/>
              </w:rPr>
              <w:t>）</w:t>
            </w:r>
          </w:p>
        </w:tc>
        <w:tc>
          <w:tcPr>
            <w:tcW w:w="88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eastAsia="宋体" w:cs="Times New Roman"/>
                <w:kern w:val="0"/>
                <w:sz w:val="21"/>
                <w:szCs w:val="20"/>
              </w:rPr>
            </w:pPr>
            <w:r>
              <w:rPr>
                <w:rFonts w:hint="default" w:ascii="Times New Roman" w:hAnsi="Times New Roman" w:eastAsia="宋体" w:cs="Times New Roman"/>
                <w:kern w:val="0"/>
                <w:sz w:val="21"/>
                <w:szCs w:val="20"/>
              </w:rPr>
              <w:t>好氧池Ⅱ</w:t>
            </w:r>
          </w:p>
        </w:tc>
        <w:tc>
          <w:tcPr>
            <w:tcW w:w="91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eastAsia="宋体" w:cs="Times New Roman"/>
                <w:kern w:val="0"/>
                <w:sz w:val="21"/>
                <w:szCs w:val="20"/>
              </w:rPr>
            </w:pPr>
            <w:r>
              <w:rPr>
                <w:rFonts w:hint="default" w:ascii="Times New Roman" w:hAnsi="Times New Roman" w:eastAsia="宋体" w:cs="Times New Roman"/>
                <w:kern w:val="0"/>
                <w:sz w:val="21"/>
                <w:szCs w:val="20"/>
              </w:rPr>
              <w:t>0.10-0.12</w:t>
            </w:r>
          </w:p>
        </w:tc>
        <w:tc>
          <w:tcPr>
            <w:tcW w:w="86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eastAsia="宋体" w:cs="Times New Roman"/>
                <w:kern w:val="0"/>
                <w:sz w:val="21"/>
                <w:szCs w:val="20"/>
              </w:rPr>
            </w:pPr>
            <w:r>
              <w:rPr>
                <w:rFonts w:hint="default" w:ascii="Times New Roman" w:hAnsi="Times New Roman" w:eastAsia="宋体" w:cs="Times New Roman"/>
                <w:kern w:val="0"/>
                <w:sz w:val="21"/>
                <w:szCs w:val="20"/>
              </w:rPr>
              <w:t>0.12-0.15</w:t>
            </w:r>
          </w:p>
        </w:tc>
        <w:tc>
          <w:tcPr>
            <w:tcW w:w="79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eastAsia="宋体" w:cs="Times New Roman"/>
                <w:kern w:val="0"/>
                <w:sz w:val="21"/>
                <w:szCs w:val="20"/>
              </w:rPr>
            </w:pPr>
            <w:r>
              <w:rPr>
                <w:rFonts w:hint="default" w:ascii="Times New Roman" w:hAnsi="Times New Roman" w:eastAsia="宋体" w:cs="Times New Roman"/>
                <w:kern w:val="0"/>
                <w:sz w:val="21"/>
                <w:szCs w:val="20"/>
              </w:rPr>
              <w:t>0.10-0.15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hint="default" w:ascii="Times New Roman" w:hAnsi="Times New Roman" w:eastAsia="宋体" w:cs="Times New Roman"/>
                <w:kern w:val="0"/>
                <w:sz w:val="21"/>
                <w:szCs w:val="20"/>
              </w:rPr>
            </w:pPr>
          </w:p>
        </w:tc>
        <w:tc>
          <w:tcPr>
            <w:tcW w:w="88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eastAsia="宋体" w:cs="Times New Roman"/>
                <w:kern w:val="0"/>
                <w:sz w:val="21"/>
                <w:szCs w:val="20"/>
              </w:rPr>
            </w:pPr>
            <w:r>
              <w:rPr>
                <w:rFonts w:hint="default" w:ascii="Times New Roman" w:hAnsi="Times New Roman" w:eastAsia="宋体" w:cs="Times New Roman"/>
                <w:kern w:val="0"/>
                <w:sz w:val="21"/>
                <w:szCs w:val="20"/>
              </w:rPr>
              <w:t>缺氧池</w:t>
            </w:r>
          </w:p>
        </w:tc>
        <w:tc>
          <w:tcPr>
            <w:tcW w:w="91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eastAsia="宋体" w:cs="Times New Roman"/>
                <w:kern w:val="0"/>
                <w:sz w:val="21"/>
                <w:szCs w:val="20"/>
              </w:rPr>
            </w:pPr>
            <w:r>
              <w:rPr>
                <w:rFonts w:hint="default" w:ascii="Times New Roman" w:hAnsi="Times New Roman" w:eastAsia="宋体" w:cs="Times New Roman"/>
                <w:kern w:val="0"/>
                <w:sz w:val="21"/>
                <w:szCs w:val="20"/>
              </w:rPr>
              <w:t>0.06-0.08</w:t>
            </w:r>
          </w:p>
        </w:tc>
        <w:tc>
          <w:tcPr>
            <w:tcW w:w="86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eastAsia="宋体" w:cs="Times New Roman"/>
                <w:kern w:val="0"/>
                <w:sz w:val="21"/>
                <w:szCs w:val="20"/>
              </w:rPr>
            </w:pPr>
            <w:r>
              <w:rPr>
                <w:rFonts w:hint="default" w:ascii="Times New Roman" w:hAnsi="Times New Roman" w:eastAsia="宋体" w:cs="Times New Roman"/>
                <w:kern w:val="0"/>
                <w:sz w:val="21"/>
                <w:szCs w:val="20"/>
              </w:rPr>
              <w:t>0.10-0.14</w:t>
            </w:r>
          </w:p>
        </w:tc>
        <w:tc>
          <w:tcPr>
            <w:tcW w:w="79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eastAsia="宋体" w:cs="Times New Roman"/>
                <w:kern w:val="0"/>
                <w:sz w:val="21"/>
                <w:szCs w:val="20"/>
              </w:rPr>
            </w:pPr>
            <w:r>
              <w:rPr>
                <w:rFonts w:hint="default" w:ascii="Times New Roman" w:hAnsi="Times New Roman" w:eastAsia="宋体" w:cs="Times New Roman"/>
                <w:kern w:val="0"/>
                <w:sz w:val="21"/>
                <w:szCs w:val="20"/>
              </w:rPr>
              <w:t>0.10-0.15</w:t>
            </w:r>
          </w:p>
        </w:tc>
      </w:tr>
    </w:tbl>
    <w:p>
      <w:pPr>
        <w:spacing w:line="360" w:lineRule="auto"/>
        <w:ind w:firstLine="42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注：好氧池Ⅰ为去除COD和BOD功能的处理方法，有脱氮要求时将好氧池与缺氧池Ⅱ联合使用，反应池顺序为缺氧池、好氧池Ⅱ，并设置硝化液回流装置。</w:t>
      </w:r>
    </w:p>
    <w:p>
      <w:pPr>
        <w:ind w:firstLine="480"/>
        <w:rPr>
          <w:rFonts w:cs="Times New Roman"/>
        </w:rPr>
      </w:pPr>
      <w:r>
        <w:rPr>
          <w:rFonts w:cs="Times New Roman"/>
        </w:rPr>
        <w:t>好氧生物接触氧化池</w:t>
      </w:r>
      <w:r>
        <w:rPr>
          <w:rFonts w:cs="Times New Roman"/>
          <w:sz w:val="21"/>
        </w:rPr>
        <w:t>Ⅰ</w:t>
      </w:r>
      <w:r>
        <w:rPr>
          <w:rFonts w:cs="Times New Roman"/>
        </w:rPr>
        <w:t>曝气总时间宜为1.5～3h，曝气时池中的溶解氧含量宜维持在2.0～3.5mg/L。好氧生物接触氧化池</w:t>
      </w:r>
      <w:r>
        <w:rPr>
          <w:rFonts w:cs="Times New Roman"/>
          <w:sz w:val="20"/>
        </w:rPr>
        <w:t>II</w:t>
      </w:r>
      <w:r>
        <w:rPr>
          <w:rFonts w:cs="Times New Roman"/>
        </w:rPr>
        <w:t>污水的水力停留时间保持在1～1.5d。曝气总时间为1.5～3h，曝气时池中的溶解氧含量宜维持在1.0～3.5mg/L。</w:t>
      </w:r>
    </w:p>
    <w:p>
      <w:pPr>
        <w:ind w:firstLine="480"/>
        <w:rPr>
          <w:rFonts w:cs="Times New Roman"/>
        </w:rPr>
      </w:pPr>
      <w:r>
        <w:rPr>
          <w:rFonts w:cs="Times New Roman"/>
        </w:rPr>
        <w:t>⑤生物接触氧化设计参照《生物接触氧化法污水处理工程技术规范》（HJ 2009-2011），主要参数见表5-11。</w:t>
      </w:r>
    </w:p>
    <w:p>
      <w:pPr>
        <w:widowControl/>
        <w:spacing w:line="360" w:lineRule="auto"/>
        <w:ind w:firstLine="0" w:firstLineChars="0"/>
        <w:jc w:val="center"/>
        <w:rPr>
          <w:rFonts w:eastAsia="黑体" w:cs="Times New Roman"/>
          <w:sz w:val="21"/>
        </w:rPr>
      </w:pPr>
      <w:r>
        <w:rPr>
          <w:rFonts w:eastAsia="黑体" w:cs="Times New Roman"/>
          <w:sz w:val="21"/>
        </w:rPr>
        <w:t>表5-11  生物接触氧化法参考设计参数</w:t>
      </w:r>
    </w:p>
    <w:tbl>
      <w:tblPr>
        <w:tblStyle w:val="29"/>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231"/>
        <w:gridCol w:w="2284"/>
        <w:gridCol w:w="2268"/>
        <w:gridCol w:w="227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392" w:type="dxa"/>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kern w:val="2"/>
                <w:szCs w:val="18"/>
              </w:rPr>
            </w:pPr>
            <w:r>
              <w:rPr>
                <w:rFonts w:ascii="Times New Roman"/>
                <w:kern w:val="2"/>
                <w:szCs w:val="18"/>
              </w:rPr>
              <w:t>参数</w:t>
            </w:r>
          </w:p>
        </w:tc>
        <w:tc>
          <w:tcPr>
            <w:tcW w:w="2391" w:type="dxa"/>
            <w:tcBorders>
              <w:top w:val="single" w:color="000000" w:sz="4" w:space="0"/>
              <w:left w:val="single" w:color="000000" w:sz="4" w:space="0"/>
              <w:bottom w:val="single" w:color="000000" w:sz="4" w:space="0"/>
              <w:right w:val="single" w:color="000000" w:sz="4" w:space="0"/>
            </w:tcBorders>
          </w:tcPr>
          <w:p>
            <w:pPr>
              <w:pStyle w:val="91"/>
              <w:adjustRightInd w:val="0"/>
              <w:snapToGrid w:val="0"/>
              <w:ind w:firstLine="0" w:firstLineChars="0"/>
              <w:jc w:val="center"/>
              <w:rPr>
                <w:rFonts w:ascii="Times New Roman"/>
                <w:kern w:val="2"/>
                <w:szCs w:val="18"/>
              </w:rPr>
            </w:pPr>
            <w:r>
              <w:rPr>
                <w:rFonts w:ascii="Times New Roman"/>
                <w:kern w:val="2"/>
                <w:szCs w:val="18"/>
              </w:rPr>
              <w:t>单位</w:t>
            </w:r>
          </w:p>
        </w:tc>
        <w:tc>
          <w:tcPr>
            <w:tcW w:w="2393" w:type="dxa"/>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kern w:val="2"/>
                <w:szCs w:val="18"/>
              </w:rPr>
            </w:pPr>
            <w:r>
              <w:rPr>
                <w:rFonts w:ascii="Times New Roman"/>
                <w:kern w:val="2"/>
                <w:szCs w:val="18"/>
              </w:rPr>
              <w:t>去除COD、氨氮</w:t>
            </w:r>
          </w:p>
        </w:tc>
        <w:tc>
          <w:tcPr>
            <w:tcW w:w="2394" w:type="dxa"/>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kern w:val="2"/>
                <w:szCs w:val="18"/>
              </w:rPr>
            </w:pPr>
            <w:r>
              <w:rPr>
                <w:rFonts w:ascii="Times New Roman"/>
                <w:kern w:val="2"/>
                <w:szCs w:val="18"/>
              </w:rPr>
              <w:t>去除总氮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90" w:hRule="atLeast"/>
        </w:trPr>
        <w:tc>
          <w:tcPr>
            <w:tcW w:w="2392" w:type="dxa"/>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kern w:val="2"/>
                <w:szCs w:val="18"/>
              </w:rPr>
            </w:pPr>
            <w:r>
              <w:rPr>
                <w:rFonts w:ascii="Times New Roman"/>
                <w:kern w:val="2"/>
                <w:szCs w:val="18"/>
              </w:rPr>
              <w:t>填料容积负荷</w:t>
            </w:r>
          </w:p>
        </w:tc>
        <w:tc>
          <w:tcPr>
            <w:tcW w:w="2391" w:type="dxa"/>
            <w:tcBorders>
              <w:top w:val="single" w:color="000000" w:sz="4" w:space="0"/>
              <w:left w:val="single" w:color="000000" w:sz="4" w:space="0"/>
              <w:bottom w:val="single" w:color="000000" w:sz="4" w:space="0"/>
              <w:right w:val="single" w:color="000000" w:sz="4" w:space="0"/>
            </w:tcBorders>
          </w:tcPr>
          <w:p>
            <w:pPr>
              <w:pStyle w:val="91"/>
              <w:adjustRightInd w:val="0"/>
              <w:snapToGrid w:val="0"/>
              <w:ind w:firstLine="0" w:firstLineChars="0"/>
              <w:jc w:val="center"/>
              <w:rPr>
                <w:rFonts w:ascii="Times New Roman"/>
                <w:kern w:val="2"/>
                <w:szCs w:val="18"/>
              </w:rPr>
            </w:pPr>
            <w:r>
              <w:rPr>
                <w:rFonts w:ascii="Times New Roman"/>
                <w:kern w:val="2"/>
                <w:szCs w:val="18"/>
              </w:rPr>
              <w:t>kg BOD</w:t>
            </w:r>
            <w:r>
              <w:rPr>
                <w:rFonts w:ascii="Times New Roman"/>
                <w:kern w:val="2"/>
                <w:szCs w:val="18"/>
                <w:vertAlign w:val="subscript"/>
              </w:rPr>
              <w:t>5</w:t>
            </w:r>
            <w:r>
              <w:rPr>
                <w:rFonts w:ascii="Times New Roman"/>
                <w:kern w:val="2"/>
                <w:szCs w:val="18"/>
              </w:rPr>
              <w:t>/(m</w:t>
            </w:r>
            <w:r>
              <w:rPr>
                <w:rFonts w:ascii="Times New Roman"/>
                <w:kern w:val="2"/>
                <w:szCs w:val="18"/>
                <w:vertAlign w:val="superscript"/>
              </w:rPr>
              <w:t>3</w:t>
            </w:r>
            <w:r>
              <w:rPr>
                <w:rFonts w:ascii="Times New Roman"/>
                <w:kern w:val="2"/>
                <w:szCs w:val="18"/>
              </w:rPr>
              <w:t>填料·d)</w:t>
            </w:r>
          </w:p>
        </w:tc>
        <w:tc>
          <w:tcPr>
            <w:tcW w:w="2393" w:type="dxa"/>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kern w:val="2"/>
                <w:szCs w:val="18"/>
              </w:rPr>
            </w:pPr>
            <w:r>
              <w:rPr>
                <w:rFonts w:ascii="Times New Roman"/>
                <w:kern w:val="2"/>
                <w:szCs w:val="18"/>
              </w:rPr>
              <w:t>0.5～3.0</w:t>
            </w:r>
          </w:p>
        </w:tc>
        <w:tc>
          <w:tcPr>
            <w:tcW w:w="2394" w:type="dxa"/>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kern w:val="2"/>
                <w:szCs w:val="18"/>
              </w:rPr>
            </w:pPr>
            <w:r>
              <w:rPr>
                <w:rFonts w:ascii="Times New Roman"/>
                <w:kern w:val="2"/>
                <w:szCs w:val="18"/>
              </w:rPr>
              <w:t>0.4～2.0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392" w:type="dxa"/>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kern w:val="2"/>
                <w:szCs w:val="18"/>
              </w:rPr>
            </w:pPr>
            <w:r>
              <w:rPr>
                <w:rFonts w:ascii="Times New Roman"/>
                <w:kern w:val="2"/>
                <w:szCs w:val="18"/>
              </w:rPr>
              <w:t>悬挂式填料填充率</w:t>
            </w:r>
          </w:p>
        </w:tc>
        <w:tc>
          <w:tcPr>
            <w:tcW w:w="2391" w:type="dxa"/>
            <w:tcBorders>
              <w:top w:val="single" w:color="000000" w:sz="4" w:space="0"/>
              <w:left w:val="single" w:color="000000" w:sz="4" w:space="0"/>
              <w:bottom w:val="single" w:color="000000" w:sz="4" w:space="0"/>
              <w:right w:val="single" w:color="000000" w:sz="4" w:space="0"/>
            </w:tcBorders>
          </w:tcPr>
          <w:p>
            <w:pPr>
              <w:pStyle w:val="91"/>
              <w:adjustRightInd w:val="0"/>
              <w:snapToGrid w:val="0"/>
              <w:ind w:firstLine="0" w:firstLineChars="0"/>
              <w:jc w:val="center"/>
              <w:rPr>
                <w:rFonts w:ascii="Times New Roman"/>
                <w:kern w:val="2"/>
                <w:szCs w:val="18"/>
              </w:rPr>
            </w:pPr>
            <w:r>
              <w:rPr>
                <w:rFonts w:ascii="Times New Roman"/>
                <w:kern w:val="2"/>
                <w:szCs w:val="18"/>
              </w:rPr>
              <w:t>%</w:t>
            </w:r>
          </w:p>
        </w:tc>
        <w:tc>
          <w:tcPr>
            <w:tcW w:w="2393" w:type="dxa"/>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kern w:val="2"/>
                <w:szCs w:val="18"/>
              </w:rPr>
            </w:pPr>
            <w:r>
              <w:rPr>
                <w:rFonts w:ascii="Times New Roman"/>
                <w:kern w:val="2"/>
                <w:szCs w:val="18"/>
              </w:rPr>
              <w:t>50～80</w:t>
            </w:r>
          </w:p>
        </w:tc>
        <w:tc>
          <w:tcPr>
            <w:tcW w:w="2394" w:type="dxa"/>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kern w:val="2"/>
                <w:szCs w:val="18"/>
              </w:rPr>
            </w:pPr>
            <w:r>
              <w:rPr>
                <w:rFonts w:ascii="Times New Roman"/>
                <w:kern w:val="2"/>
                <w:szCs w:val="18"/>
              </w:rPr>
              <w:t>50～80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392" w:type="dxa"/>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kern w:val="2"/>
                <w:szCs w:val="18"/>
              </w:rPr>
            </w:pPr>
            <w:r>
              <w:rPr>
                <w:rFonts w:ascii="Times New Roman"/>
                <w:kern w:val="2"/>
                <w:szCs w:val="18"/>
              </w:rPr>
              <w:t>悬浮式填料填充率</w:t>
            </w:r>
          </w:p>
        </w:tc>
        <w:tc>
          <w:tcPr>
            <w:tcW w:w="2391" w:type="dxa"/>
            <w:tcBorders>
              <w:top w:val="single" w:color="000000" w:sz="4" w:space="0"/>
              <w:left w:val="single" w:color="000000" w:sz="4" w:space="0"/>
              <w:bottom w:val="single" w:color="000000" w:sz="4" w:space="0"/>
              <w:right w:val="single" w:color="000000" w:sz="4" w:space="0"/>
            </w:tcBorders>
          </w:tcPr>
          <w:p>
            <w:pPr>
              <w:pStyle w:val="91"/>
              <w:adjustRightInd w:val="0"/>
              <w:snapToGrid w:val="0"/>
              <w:ind w:firstLine="0" w:firstLineChars="0"/>
              <w:jc w:val="center"/>
              <w:rPr>
                <w:rFonts w:ascii="Times New Roman"/>
                <w:kern w:val="2"/>
                <w:szCs w:val="18"/>
              </w:rPr>
            </w:pPr>
            <w:r>
              <w:rPr>
                <w:rFonts w:ascii="Times New Roman"/>
                <w:kern w:val="2"/>
                <w:szCs w:val="18"/>
              </w:rPr>
              <w:t>%</w:t>
            </w:r>
          </w:p>
        </w:tc>
        <w:tc>
          <w:tcPr>
            <w:tcW w:w="2393" w:type="dxa"/>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kern w:val="2"/>
                <w:szCs w:val="18"/>
              </w:rPr>
            </w:pPr>
            <w:r>
              <w:rPr>
                <w:rFonts w:ascii="Times New Roman"/>
                <w:kern w:val="2"/>
                <w:szCs w:val="18"/>
              </w:rPr>
              <w:t>20～50</w:t>
            </w:r>
          </w:p>
        </w:tc>
        <w:tc>
          <w:tcPr>
            <w:tcW w:w="2394" w:type="dxa"/>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kern w:val="2"/>
                <w:szCs w:val="18"/>
              </w:rPr>
            </w:pPr>
            <w:r>
              <w:rPr>
                <w:rFonts w:ascii="Times New Roman"/>
                <w:kern w:val="2"/>
                <w:szCs w:val="18"/>
              </w:rPr>
              <w:t>20～50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392" w:type="dxa"/>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kern w:val="2"/>
                <w:szCs w:val="18"/>
              </w:rPr>
            </w:pPr>
            <w:r>
              <w:rPr>
                <w:rFonts w:ascii="Times New Roman"/>
                <w:kern w:val="2"/>
                <w:szCs w:val="18"/>
              </w:rPr>
              <w:t>水力停留时间</w:t>
            </w:r>
          </w:p>
        </w:tc>
        <w:tc>
          <w:tcPr>
            <w:tcW w:w="2391" w:type="dxa"/>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kern w:val="2"/>
                <w:szCs w:val="18"/>
              </w:rPr>
            </w:pPr>
            <w:r>
              <w:rPr>
                <w:rFonts w:ascii="Times New Roman"/>
                <w:kern w:val="2"/>
                <w:szCs w:val="18"/>
              </w:rPr>
              <w:t>h</w:t>
            </w:r>
          </w:p>
        </w:tc>
        <w:tc>
          <w:tcPr>
            <w:tcW w:w="2393" w:type="dxa"/>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kern w:val="2"/>
                <w:szCs w:val="18"/>
              </w:rPr>
            </w:pPr>
            <w:r>
              <w:rPr>
                <w:rFonts w:ascii="Times New Roman"/>
                <w:kern w:val="2"/>
                <w:szCs w:val="18"/>
              </w:rPr>
              <w:t>2～6（水温20℃）</w:t>
            </w:r>
          </w:p>
        </w:tc>
        <w:tc>
          <w:tcPr>
            <w:tcW w:w="2394" w:type="dxa"/>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kern w:val="2"/>
                <w:szCs w:val="18"/>
              </w:rPr>
            </w:pPr>
            <w:r>
              <w:rPr>
                <w:rFonts w:ascii="Times New Roman"/>
                <w:kern w:val="2"/>
                <w:szCs w:val="18"/>
              </w:rPr>
              <w:t>4～16（水温10℃），</w:t>
            </w:r>
          </w:p>
          <w:p>
            <w:pPr>
              <w:pStyle w:val="91"/>
              <w:adjustRightInd w:val="0"/>
              <w:snapToGrid w:val="0"/>
              <w:ind w:firstLine="0" w:firstLineChars="0"/>
              <w:jc w:val="center"/>
              <w:rPr>
                <w:rFonts w:ascii="Times New Roman"/>
                <w:kern w:val="2"/>
                <w:szCs w:val="18"/>
              </w:rPr>
            </w:pPr>
            <w:r>
              <w:rPr>
                <w:rFonts w:ascii="Times New Roman"/>
                <w:kern w:val="2"/>
                <w:szCs w:val="18"/>
              </w:rPr>
              <w:t>其中缺氧池0.5～3.0</w:t>
            </w:r>
          </w:p>
        </w:tc>
      </w:tr>
    </w:tbl>
    <w:p>
      <w:pPr>
        <w:ind w:firstLine="480"/>
        <w:rPr>
          <w:rFonts w:cs="Times New Roman"/>
        </w:rPr>
      </w:pPr>
      <w:r>
        <w:rPr>
          <w:rFonts w:cs="Times New Roman"/>
        </w:rPr>
        <w:t>⑥生物接触氧化池的长宽比宜取2:1～1:1，有效水深宜取3～6m，超高不宜小于0.5m。</w:t>
      </w:r>
    </w:p>
    <w:p>
      <w:pPr>
        <w:ind w:firstLine="480"/>
        <w:rPr>
          <w:rFonts w:cs="Times New Roman"/>
        </w:rPr>
      </w:pPr>
      <w:r>
        <w:rPr>
          <w:rFonts w:cs="Times New Roman"/>
        </w:rPr>
        <w:t>⑦进水应防止短流，进水端宜设导流槽，其宽度不宜小于0.8m。出水采用堰式出水，集水堰过堰负荷宜为2.0～3.0L/（s·m），池底部应设置排泥和防空设施。</w:t>
      </w:r>
    </w:p>
    <w:p>
      <w:pPr>
        <w:ind w:firstLine="480"/>
        <w:rPr>
          <w:rFonts w:cs="Times New Roman"/>
        </w:rPr>
      </w:pPr>
      <w:r>
        <w:rPr>
          <w:rFonts w:cs="Times New Roman"/>
        </w:rPr>
        <w:t>⑧在缺氧池设置悬浮填料，宜采用安装角度可调的机械搅拌器，混合搅拌功率宜采用2W/m</w:t>
      </w:r>
      <w:r>
        <w:rPr>
          <w:rFonts w:cs="Times New Roman"/>
          <w:vertAlign w:val="superscript"/>
        </w:rPr>
        <w:t>3</w:t>
      </w:r>
      <w:r>
        <w:rPr>
          <w:rFonts w:cs="Times New Roman"/>
        </w:rPr>
        <w:t>～8W/m</w:t>
      </w:r>
      <w:r>
        <w:rPr>
          <w:rFonts w:cs="Times New Roman"/>
          <w:vertAlign w:val="superscript"/>
        </w:rPr>
        <w:t>3</w:t>
      </w:r>
      <w:r>
        <w:rPr>
          <w:rFonts w:cs="Times New Roman"/>
        </w:rPr>
        <w:t>，搅拌器性能应符合《环境保护产品技术要求推流式潜水搅拌机》（HJ/T 279）的要求。</w:t>
      </w:r>
    </w:p>
    <w:p>
      <w:pPr>
        <w:ind w:firstLine="480"/>
        <w:rPr>
          <w:rFonts w:cs="Times New Roman"/>
        </w:rPr>
      </w:pPr>
      <w:r>
        <w:rPr>
          <w:rFonts w:cs="Times New Roman"/>
        </w:rPr>
        <w:t>（3）改良活性污泥法</w:t>
      </w:r>
    </w:p>
    <w:p>
      <w:pPr>
        <w:ind w:firstLine="480"/>
        <w:rPr>
          <w:rFonts w:cs="Times New Roman"/>
        </w:rPr>
      </w:pPr>
      <w:r>
        <w:rPr>
          <w:rFonts w:cs="Times New Roman"/>
        </w:rPr>
        <w:t>活性污泥法是在人工条件下，对污水中的微生物群体进行连续混合和培养，形成悬浮状的活性污泥，分解去除污水中的有机污染物，并使污泥与水分离，部分污泥回流至生物反应池，多余部分作为剩余污泥排出活性污泥系统。改良活性污泥是在活性污泥法内添加填料，以增加活性污泥浓度，使部分特殊菌种富集在填料内，达到更高的降解能力或专门的降解方向。</w:t>
      </w:r>
    </w:p>
    <w:p>
      <w:pPr>
        <w:spacing w:line="240" w:lineRule="auto"/>
        <w:ind w:firstLine="480" w:firstLineChars="0"/>
        <w:rPr>
          <w:rFonts w:cs="Times New Roman"/>
          <w:sz w:val="21"/>
          <w:szCs w:val="24"/>
        </w:rPr>
      </w:pPr>
      <w:r>
        <mc:AlternateContent>
          <mc:Choice Requires="wps">
            <w:drawing>
              <wp:anchor distT="0" distB="0" distL="114300" distR="114300" simplePos="0" relativeHeight="251668480" behindDoc="0" locked="0" layoutInCell="1" allowOverlap="1">
                <wp:simplePos x="0" y="0"/>
                <wp:positionH relativeFrom="column">
                  <wp:posOffset>638175</wp:posOffset>
                </wp:positionH>
                <wp:positionV relativeFrom="paragraph">
                  <wp:posOffset>3810</wp:posOffset>
                </wp:positionV>
                <wp:extent cx="571500" cy="353060"/>
                <wp:effectExtent l="0" t="0" r="0" b="0"/>
                <wp:wrapNone/>
                <wp:docPr id="73" name="Text Box 13"/>
                <wp:cNvGraphicFramePr/>
                <a:graphic xmlns:a="http://schemas.openxmlformats.org/drawingml/2006/main">
                  <a:graphicData uri="http://schemas.microsoft.com/office/word/2010/wordprocessingShape">
                    <wps:wsp>
                      <wps:cNvSpPr txBox="1"/>
                      <wps:spPr>
                        <a:xfrm flipV="1">
                          <a:off x="1610360" y="8456930"/>
                          <a:ext cx="571500" cy="353060"/>
                        </a:xfrm>
                        <a:prstGeom prst="rect">
                          <a:avLst/>
                        </a:prstGeom>
                        <a:noFill/>
                        <a:ln>
                          <a:noFill/>
                        </a:ln>
                        <a:effectLst/>
                      </wps:spPr>
                      <wps:txbx>
                        <w:txbxContent>
                          <w:p>
                            <w:pPr>
                              <w:spacing w:line="240" w:lineRule="auto"/>
                              <w:ind w:firstLine="0" w:firstLineChars="0"/>
                              <w:jc w:val="center"/>
                              <w:rPr>
                                <w:szCs w:val="21"/>
                              </w:rPr>
                            </w:pPr>
                            <w:r>
                              <w:rPr>
                                <w:rFonts w:hint="eastAsia"/>
                                <w:sz w:val="21"/>
                                <w:szCs w:val="21"/>
                              </w:rPr>
                              <w:t>进水</w:t>
                            </w:r>
                          </w:p>
                        </w:txbxContent>
                      </wps:txbx>
                      <wps:bodyPr vert="horz" anchor="t" upright="1"/>
                    </wps:wsp>
                  </a:graphicData>
                </a:graphic>
              </wp:anchor>
            </w:drawing>
          </mc:Choice>
          <mc:Fallback>
            <w:pict>
              <v:shape id="Text Box 13" o:spid="_x0000_s1026" o:spt="202" type="#_x0000_t202" style="position:absolute;left:0pt;flip:y;margin-left:50.25pt;margin-top:0.3pt;height:27.8pt;width:45pt;z-index:251668480;mso-width-relative:page;mso-height-relative:page;" filled="f" stroked="f" coordsize="21600,21600" o:gfxdata="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nqwyzVAAAABwEAAA8AAAAAAAAAAQAgAAAAIgAAAGRycy9kb3ducmV2Lnht&#10;bFBLAQIUABQAAAAIAIdO4kBnk70dwwEAAIkDAAAOAAAAAAAAAAEAIAAAACQBAABkcnMvZTJvRG9j&#10;LnhtbFBLBQYAAAAABgAGAFkBAABZBQAAAAA=&#10;">
                <v:fill on="f" focussize="0,0"/>
                <v:stroke on="f"/>
                <v:imagedata o:title=""/>
                <o:lock v:ext="edit" aspectratio="f"/>
                <v:textbox>
                  <w:txbxContent>
                    <w:p>
                      <w:pPr>
                        <w:spacing w:line="240" w:lineRule="auto"/>
                        <w:ind w:firstLine="0" w:firstLineChars="0"/>
                        <w:jc w:val="center"/>
                        <w:rPr>
                          <w:szCs w:val="21"/>
                        </w:rPr>
                      </w:pPr>
                      <w:r>
                        <w:rPr>
                          <w:rFonts w:hint="eastAsia"/>
                          <w:sz w:val="21"/>
                          <w:szCs w:val="21"/>
                        </w:rPr>
                        <w:t>进水</w:t>
                      </w:r>
                    </w:p>
                  </w:txbxContent>
                </v:textbox>
              </v:shape>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1381125</wp:posOffset>
                </wp:positionH>
                <wp:positionV relativeFrom="paragraph">
                  <wp:posOffset>81915</wp:posOffset>
                </wp:positionV>
                <wp:extent cx="685800" cy="353060"/>
                <wp:effectExtent l="4445" t="4445" r="10795" b="8255"/>
                <wp:wrapNone/>
                <wp:docPr id="76" name="Text Box 16"/>
                <wp:cNvGraphicFramePr/>
                <a:graphic xmlns:a="http://schemas.openxmlformats.org/drawingml/2006/main">
                  <a:graphicData uri="http://schemas.microsoft.com/office/word/2010/wordprocessingShape">
                    <wps:wsp>
                      <wps:cNvSpPr txBox="1"/>
                      <wps:spPr>
                        <a:xfrm flipV="1">
                          <a:off x="2353310" y="8456930"/>
                          <a:ext cx="685800" cy="35306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auto"/>
                              <w:ind w:firstLine="0" w:firstLineChars="0"/>
                              <w:jc w:val="center"/>
                              <w:rPr>
                                <w:sz w:val="21"/>
                                <w:szCs w:val="21"/>
                              </w:rPr>
                            </w:pPr>
                            <w:r>
                              <w:rPr>
                                <w:rFonts w:hint="eastAsia"/>
                                <w:sz w:val="21"/>
                                <w:szCs w:val="21"/>
                              </w:rPr>
                              <w:t>预处理</w:t>
                            </w:r>
                          </w:p>
                        </w:txbxContent>
                      </wps:txbx>
                      <wps:bodyPr vert="horz" anchor="t" upright="1"/>
                    </wps:wsp>
                  </a:graphicData>
                </a:graphic>
              </wp:anchor>
            </w:drawing>
          </mc:Choice>
          <mc:Fallback>
            <w:pict>
              <v:shape id="Text Box 16" o:spid="_x0000_s1026" o:spt="202" type="#_x0000_t202" style="position:absolute;left:0pt;flip:y;margin-left:108.75pt;margin-top:6.45pt;height:27.8pt;width:54pt;z-index:251671552;mso-width-relative:page;mso-height-relative:page;" fillcolor="#FFFFFF" filled="t" stroked="t" coordsize="21600,21600" o:gfxdata="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L7EjvtkAAAAJAQAADwAAAAAAAAABACAAAAAiAAAAZHJzL2Rvd25yZXYueG1sUEsBAhQAFAAAAAgA&#10;h07iQKhNu1UkAgAAcQQAAA4AAAAAAAAAAQAgAAAAKAEAAGRycy9lMm9Eb2MueG1sUEsFBgAAAAAG&#10;AAYAWQEAAL4FAAAAAA==&#10;">
                <v:fill on="t" focussize="0,0"/>
                <v:stroke color="#000000" joinstyle="miter"/>
                <v:imagedata o:title=""/>
                <o:lock v:ext="edit" aspectratio="f"/>
                <v:textbox>
                  <w:txbxContent>
                    <w:p>
                      <w:pPr>
                        <w:spacing w:line="240" w:lineRule="auto"/>
                        <w:ind w:firstLine="0" w:firstLineChars="0"/>
                        <w:jc w:val="center"/>
                        <w:rPr>
                          <w:sz w:val="21"/>
                          <w:szCs w:val="21"/>
                        </w:rPr>
                      </w:pPr>
                      <w:r>
                        <w:rPr>
                          <w:rFonts w:hint="eastAsia"/>
                          <w:sz w:val="21"/>
                          <w:szCs w:val="21"/>
                        </w:rPr>
                        <w:t>预处理</w:t>
                      </w:r>
                    </w:p>
                  </w:txbxContent>
                </v:textbox>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4400550</wp:posOffset>
                </wp:positionH>
                <wp:positionV relativeFrom="paragraph">
                  <wp:posOffset>81915</wp:posOffset>
                </wp:positionV>
                <wp:extent cx="571500" cy="353060"/>
                <wp:effectExtent l="0" t="0" r="0" b="0"/>
                <wp:wrapNone/>
                <wp:docPr id="74" name="Text Box 14"/>
                <wp:cNvGraphicFramePr/>
                <a:graphic xmlns:a="http://schemas.openxmlformats.org/drawingml/2006/main">
                  <a:graphicData uri="http://schemas.microsoft.com/office/word/2010/wordprocessingShape">
                    <wps:wsp>
                      <wps:cNvSpPr txBox="1"/>
                      <wps:spPr>
                        <a:xfrm flipV="1">
                          <a:off x="5372735" y="8456930"/>
                          <a:ext cx="571500" cy="353060"/>
                        </a:xfrm>
                        <a:prstGeom prst="rect">
                          <a:avLst/>
                        </a:prstGeom>
                        <a:noFill/>
                        <a:ln>
                          <a:noFill/>
                        </a:ln>
                        <a:effectLst/>
                      </wps:spPr>
                      <wps:txbx>
                        <w:txbxContent>
                          <w:p>
                            <w:pPr>
                              <w:spacing w:line="240" w:lineRule="auto"/>
                              <w:ind w:firstLine="0" w:firstLineChars="0"/>
                              <w:jc w:val="center"/>
                              <w:rPr>
                                <w:sz w:val="21"/>
                                <w:szCs w:val="21"/>
                              </w:rPr>
                            </w:pPr>
                            <w:r>
                              <w:rPr>
                                <w:rFonts w:hint="eastAsia"/>
                                <w:sz w:val="21"/>
                                <w:szCs w:val="21"/>
                              </w:rPr>
                              <w:t>出水</w:t>
                            </w:r>
                          </w:p>
                        </w:txbxContent>
                      </wps:txbx>
                      <wps:bodyPr vert="horz" anchor="t" upright="1"/>
                    </wps:wsp>
                  </a:graphicData>
                </a:graphic>
              </wp:anchor>
            </w:drawing>
          </mc:Choice>
          <mc:Fallback>
            <w:pict>
              <v:shape id="Text Box 14" o:spid="_x0000_s1026" o:spt="202" type="#_x0000_t202" style="position:absolute;left:0pt;flip:y;margin-left:346.5pt;margin-top:6.45pt;height:27.8pt;width:45pt;z-index:251669504;mso-width-relative:page;mso-height-relative:page;" filled="f" stroked="f" coordsize="21600,21600" o:gfxdata="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PfyyVrZAAAACQEAAA8AAAAAAAAAAQAgAAAAIgAAAGRycy9kb3du&#10;cmV2LnhtbFBLAQIUABQAAAAIAIdO4kC7t/VbxQEAAIkDAAAOAAAAAAAAAAEAIAAAACgBAABkcnMv&#10;ZTJvRG9jLnhtbFBLBQYAAAAABgAGAFkBAABfBQAAAAA=&#10;">
                <v:fill on="f" focussize="0,0"/>
                <v:stroke on="f"/>
                <v:imagedata o:title=""/>
                <o:lock v:ext="edit" aspectratio="f"/>
                <v:textbox>
                  <w:txbxContent>
                    <w:p>
                      <w:pPr>
                        <w:spacing w:line="240" w:lineRule="auto"/>
                        <w:ind w:firstLine="0" w:firstLineChars="0"/>
                        <w:jc w:val="center"/>
                        <w:rPr>
                          <w:sz w:val="21"/>
                          <w:szCs w:val="21"/>
                        </w:rPr>
                      </w:pPr>
                      <w:r>
                        <w:rPr>
                          <w:rFonts w:hint="eastAsia"/>
                          <w:sz w:val="21"/>
                          <w:szCs w:val="21"/>
                        </w:rPr>
                        <w:t>出水</w:t>
                      </w:r>
                    </w:p>
                  </w:txbxContent>
                </v:textbox>
              </v:shape>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2638425</wp:posOffset>
                </wp:positionH>
                <wp:positionV relativeFrom="paragraph">
                  <wp:posOffset>81915</wp:posOffset>
                </wp:positionV>
                <wp:extent cx="1647825" cy="353060"/>
                <wp:effectExtent l="4445" t="4445" r="8890" b="8255"/>
                <wp:wrapNone/>
                <wp:docPr id="71" name="Text Box 11"/>
                <wp:cNvGraphicFramePr/>
                <a:graphic xmlns:a="http://schemas.openxmlformats.org/drawingml/2006/main">
                  <a:graphicData uri="http://schemas.microsoft.com/office/word/2010/wordprocessingShape">
                    <wps:wsp>
                      <wps:cNvSpPr txBox="1"/>
                      <wps:spPr>
                        <a:xfrm flipV="1">
                          <a:off x="3610610" y="8456930"/>
                          <a:ext cx="1647825" cy="35306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auto"/>
                              <w:ind w:firstLine="0" w:firstLineChars="0"/>
                              <w:jc w:val="center"/>
                              <w:rPr>
                                <w:sz w:val="21"/>
                                <w:szCs w:val="21"/>
                              </w:rPr>
                            </w:pPr>
                            <w:r>
                              <w:rPr>
                                <w:rFonts w:hint="eastAsia"/>
                                <w:sz w:val="21"/>
                                <w:szCs w:val="21"/>
                              </w:rPr>
                              <w:t>改良活性污泥法</w:t>
                            </w:r>
                          </w:p>
                        </w:txbxContent>
                      </wps:txbx>
                      <wps:bodyPr vert="horz" anchor="t" upright="1"/>
                    </wps:wsp>
                  </a:graphicData>
                </a:graphic>
              </wp:anchor>
            </w:drawing>
          </mc:Choice>
          <mc:Fallback>
            <w:pict>
              <v:shape id="Text Box 11" o:spid="_x0000_s1026" o:spt="202" type="#_x0000_t202" style="position:absolute;left:0pt;flip:y;margin-left:207.75pt;margin-top:6.45pt;height:27.8pt;width:129.75pt;z-index:251666432;mso-width-relative:page;mso-height-relative:page;" fillcolor="#FFFFFF" filled="t" stroked="t" coordsize="21600,21600" o:gfxdata="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DB+XnjYAAAACQEAAA8AAAAAAAAAAQAgAAAAIgAAAGRycy9kb3ducmV2LnhtbFBLAQIUABQAAAAI&#10;AIdO4kA6q/M0JgIAAHIEAAAOAAAAAAAAAAEAIAAAACcBAABkcnMvZTJvRG9jLnhtbFBLBQYAAAAA&#10;BgAGAFkBAAC/BQAAAAA=&#10;">
                <v:fill on="t" focussize="0,0"/>
                <v:stroke color="#000000" joinstyle="miter"/>
                <v:imagedata o:title=""/>
                <o:lock v:ext="edit" aspectratio="f"/>
                <v:textbox>
                  <w:txbxContent>
                    <w:p>
                      <w:pPr>
                        <w:spacing w:line="240" w:lineRule="auto"/>
                        <w:ind w:firstLine="0" w:firstLineChars="0"/>
                        <w:jc w:val="center"/>
                        <w:rPr>
                          <w:sz w:val="21"/>
                          <w:szCs w:val="21"/>
                        </w:rPr>
                      </w:pPr>
                      <w:r>
                        <w:rPr>
                          <w:rFonts w:hint="eastAsia"/>
                          <w:sz w:val="21"/>
                          <w:szCs w:val="21"/>
                        </w:rPr>
                        <w:t>改良活性污泥法</w:t>
                      </w:r>
                    </w:p>
                  </w:txbxContent>
                </v:textbox>
              </v:shape>
            </w:pict>
          </mc:Fallback>
        </mc:AlternateContent>
      </w:r>
    </w:p>
    <w:p>
      <w:pPr>
        <w:spacing w:line="240" w:lineRule="auto"/>
        <w:ind w:firstLine="480" w:firstLineChars="0"/>
        <w:rPr>
          <w:rFonts w:cs="Times New Roman"/>
          <w:sz w:val="21"/>
          <w:szCs w:val="24"/>
        </w:rPr>
      </w:pPr>
      <w:r>
        <mc:AlternateContent>
          <mc:Choice Requires="wps">
            <w:drawing>
              <wp:anchor distT="0" distB="0" distL="114300" distR="114300" simplePos="0" relativeHeight="251670528" behindDoc="0" locked="0" layoutInCell="1" allowOverlap="1">
                <wp:simplePos x="0" y="0"/>
                <wp:positionH relativeFrom="column">
                  <wp:posOffset>4286250</wp:posOffset>
                </wp:positionH>
                <wp:positionV relativeFrom="paragraph">
                  <wp:posOffset>94615</wp:posOffset>
                </wp:positionV>
                <wp:extent cx="880745" cy="6985"/>
                <wp:effectExtent l="0" t="32385" r="3175" b="36830"/>
                <wp:wrapNone/>
                <wp:docPr id="75" name="Line 15"/>
                <wp:cNvGraphicFramePr/>
                <a:graphic xmlns:a="http://schemas.openxmlformats.org/drawingml/2006/main">
                  <a:graphicData uri="http://schemas.microsoft.com/office/word/2010/wordprocessingShape">
                    <wps:wsp>
                      <wps:cNvCnPr/>
                      <wps:spPr>
                        <a:xfrm>
                          <a:off x="5258435" y="8456930"/>
                          <a:ext cx="880745" cy="6985"/>
                        </a:xfrm>
                        <a:prstGeom prst="line">
                          <a:avLst/>
                        </a:prstGeom>
                        <a:ln w="9525" cap="flat" cmpd="sng">
                          <a:solidFill>
                            <a:srgbClr val="000000"/>
                          </a:solidFill>
                          <a:prstDash val="solid"/>
                          <a:headEnd type="none" w="med" len="med"/>
                          <a:tailEnd type="stealth" w="med" len="lg"/>
                        </a:ln>
                        <a:effectLst/>
                      </wps:spPr>
                      <wps:bodyPr/>
                    </wps:wsp>
                  </a:graphicData>
                </a:graphic>
              </wp:anchor>
            </w:drawing>
          </mc:Choice>
          <mc:Fallback>
            <w:pict>
              <v:line id="Line 15" o:spid="_x0000_s1026" o:spt="20" style="position:absolute;left:0pt;margin-left:337.5pt;margin-top:7.45pt;height:0.55pt;width:69.35pt;z-index:251670528;mso-width-relative:page;mso-height-relative:page;" filled="f" stroked="t" coordsize="21600,21600" o:gfxdata="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jYsEn2AAAAAkBAAAPAAAAAAAAAAEAIAAAACIAAABkcnMvZG93bnJldi54bWxQSwECFAAU&#10;AAAACACHTuJAkQyOvfEBAADtAwAADgAAAAAAAAABACAAAAAnAQAAZHJzL2Uyb0RvYy54bWxQSwUG&#10;AAAAAAYABgBZAQAAigUAAAAA&#10;">
                <v:fill on="f" focussize="0,0"/>
                <v:stroke color="#000000" joinstyle="round" endarrow="classic" endarrowlength="long"/>
                <v:imagedata o:title=""/>
                <o:lock v:ext="edit" aspectratio="f"/>
              </v:line>
            </w:pict>
          </mc:Fallback>
        </mc:AlternateContent>
      </w:r>
      <w:r>
        <mc:AlternateContent>
          <mc:Choice Requires="wps">
            <w:drawing>
              <wp:anchor distT="0" distB="0" distL="114300" distR="114300" simplePos="0" relativeHeight="251667456" behindDoc="0" locked="0" layoutInCell="1" allowOverlap="1">
                <wp:simplePos x="0" y="0"/>
                <wp:positionH relativeFrom="column">
                  <wp:posOffset>457200</wp:posOffset>
                </wp:positionH>
                <wp:positionV relativeFrom="paragraph">
                  <wp:posOffset>61595</wp:posOffset>
                </wp:positionV>
                <wp:extent cx="922655" cy="6985"/>
                <wp:effectExtent l="0" t="32385" r="6985" b="36830"/>
                <wp:wrapNone/>
                <wp:docPr id="72" name="Line 12"/>
                <wp:cNvGraphicFramePr/>
                <a:graphic xmlns:a="http://schemas.openxmlformats.org/drawingml/2006/main">
                  <a:graphicData uri="http://schemas.microsoft.com/office/word/2010/wordprocessingShape">
                    <wps:wsp>
                      <wps:cNvCnPr/>
                      <wps:spPr>
                        <a:xfrm>
                          <a:off x="1429385" y="8456930"/>
                          <a:ext cx="922655" cy="6985"/>
                        </a:xfrm>
                        <a:prstGeom prst="line">
                          <a:avLst/>
                        </a:prstGeom>
                        <a:ln w="9525" cap="flat" cmpd="sng">
                          <a:solidFill>
                            <a:srgbClr val="000000"/>
                          </a:solidFill>
                          <a:prstDash val="solid"/>
                          <a:headEnd type="none" w="med" len="med"/>
                          <a:tailEnd type="stealth" w="med" len="lg"/>
                        </a:ln>
                        <a:effectLst/>
                      </wps:spPr>
                      <wps:bodyPr/>
                    </wps:wsp>
                  </a:graphicData>
                </a:graphic>
              </wp:anchor>
            </w:drawing>
          </mc:Choice>
          <mc:Fallback>
            <w:pict>
              <v:line id="Line 12" o:spid="_x0000_s1026" o:spt="20" style="position:absolute;left:0pt;margin-left:36pt;margin-top:4.85pt;height:0.55pt;width:72.65pt;z-index:251667456;mso-width-relative:page;mso-height-relative:page;" filled="f" stroked="t" coordsize="21600,21600" o:gfxdata="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s&#10;wEb71gAAAAcBAAAPAAAAAAAAAAEAIAAAACIAAABkcnMvZG93bnJldi54bWxQSwECFAAUAAAACACH&#10;TuJAuFJ/gO0BAADtAwAADgAAAAAAAAABACAAAAAlAQAAZHJzL2Uyb0RvYy54bWxQSwUGAAAAAAYA&#10;BgBZAQAAhAUAAAAA&#10;">
                <v:fill on="f" focussize="0,0"/>
                <v:stroke color="#000000" joinstyle="round" endarrow="classic" endarrowlength="long"/>
                <v:imagedata o:title=""/>
                <o:lock v:ext="edit" aspectratio="f"/>
              </v:line>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2066925</wp:posOffset>
                </wp:positionH>
                <wp:positionV relativeFrom="paragraph">
                  <wp:posOffset>39370</wp:posOffset>
                </wp:positionV>
                <wp:extent cx="588010" cy="1270"/>
                <wp:effectExtent l="0" t="38100" r="6350" b="36830"/>
                <wp:wrapNone/>
                <wp:docPr id="77" name="Line 17"/>
                <wp:cNvGraphicFramePr/>
                <a:graphic xmlns:a="http://schemas.openxmlformats.org/drawingml/2006/main">
                  <a:graphicData uri="http://schemas.microsoft.com/office/word/2010/wordprocessingShape">
                    <wps:wsp>
                      <wps:cNvCnPr/>
                      <wps:spPr>
                        <a:xfrm flipV="1">
                          <a:off x="3039110" y="8456930"/>
                          <a:ext cx="588010" cy="1270"/>
                        </a:xfrm>
                        <a:prstGeom prst="line">
                          <a:avLst/>
                        </a:prstGeom>
                        <a:ln w="9525" cap="flat" cmpd="sng">
                          <a:solidFill>
                            <a:srgbClr val="000000"/>
                          </a:solidFill>
                          <a:prstDash val="solid"/>
                          <a:headEnd type="none" w="med" len="med"/>
                          <a:tailEnd type="stealth" w="med" len="lg"/>
                        </a:ln>
                        <a:effectLst/>
                      </wps:spPr>
                      <wps:bodyPr/>
                    </wps:wsp>
                  </a:graphicData>
                </a:graphic>
              </wp:anchor>
            </w:drawing>
          </mc:Choice>
          <mc:Fallback>
            <w:pict>
              <v:line id="Line 17" o:spid="_x0000_s1026" o:spt="20" style="position:absolute;left:0pt;flip:y;margin-left:162.75pt;margin-top:3.1pt;height:0.1pt;width:46.3pt;z-index:251672576;mso-width-relative:page;mso-height-relative:page;" filled="f" stroked="t" coordsize="21600,21600" o:gfxdata="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EV7wo1wAAAAcBAAAPAAAAAAAAAAEAIAAAACIAAABkcnMvZG93bnJldi54bWxQ&#10;SwECFAAUAAAACACHTuJAtf2Q6PgBAAD3AwAADgAAAAAAAAABACAAAAAmAQAAZHJzL2Uyb0RvYy54&#10;bWxQSwUGAAAAAAYABgBZAQAAkAUAAAAA&#10;">
                <v:fill on="f" focussize="0,0"/>
                <v:stroke color="#000000" joinstyle="round" endarrow="classic" endarrowlength="long"/>
                <v:imagedata o:title=""/>
                <o:lock v:ext="edit" aspectratio="f"/>
              </v:line>
            </w:pict>
          </mc:Fallback>
        </mc:AlternateContent>
      </w:r>
    </w:p>
    <w:p>
      <w:pPr>
        <w:spacing w:line="240" w:lineRule="auto"/>
        <w:ind w:firstLine="0" w:firstLineChars="0"/>
        <w:jc w:val="center"/>
        <w:rPr>
          <w:rFonts w:cs="Times New Roman"/>
          <w:sz w:val="21"/>
          <w:szCs w:val="24"/>
        </w:rPr>
      </w:pPr>
    </w:p>
    <w:p>
      <w:pPr>
        <w:ind w:firstLine="0" w:firstLineChars="0"/>
        <w:jc w:val="center"/>
        <w:rPr>
          <w:rFonts w:eastAsia="黑体" w:cs="Times New Roman"/>
          <w:sz w:val="21"/>
        </w:rPr>
      </w:pPr>
      <w:r>
        <w:rPr>
          <w:rFonts w:eastAsia="黑体" w:cs="Times New Roman"/>
          <w:sz w:val="21"/>
        </w:rPr>
        <w:t>图5-10  改良活性污泥法处理工艺流程图</w:t>
      </w:r>
    </w:p>
    <w:p>
      <w:pPr>
        <w:ind w:firstLine="480"/>
        <w:rPr>
          <w:rFonts w:cs="Times New Roman"/>
        </w:rPr>
      </w:pPr>
      <w:r>
        <w:rPr>
          <w:rFonts w:cs="Times New Roman"/>
        </w:rPr>
        <w:t>一般投加多孔悬浮载体，如聚氨酯泡沫块，利用大量具有一定尺寸、孔隙率较大的多孔泡沫块作为生物载体，用筛网将泡沫块截留在曝气池中，使其在曝池体积约1%～50%，有的甚至达75%，这些多孔沫块为曝气池中的微生物提供了大量可供栖息的表面积，在较短时间里许多微生物就附着于其表面及孔隙中。有的泡沫块的生物量可达100～150mg/块，使池内生物量大为增加。</w:t>
      </w:r>
    </w:p>
    <w:p>
      <w:pPr>
        <w:ind w:firstLine="480"/>
        <w:rPr>
          <w:rFonts w:cs="Times New Roman"/>
        </w:rPr>
      </w:pPr>
      <w:r>
        <w:rPr>
          <w:rFonts w:cs="Times New Roman"/>
        </w:rPr>
        <w:t>投加填料能使活性污泥法工艺性状大大改善，具体表现于以下诸方面：</w:t>
      </w:r>
    </w:p>
    <w:p>
      <w:pPr>
        <w:ind w:firstLine="480"/>
        <w:rPr>
          <w:rFonts w:cs="Times New Roman"/>
        </w:rPr>
      </w:pPr>
      <w:r>
        <w:rPr>
          <w:rFonts w:cs="Times New Roman"/>
        </w:rPr>
        <w:t>①可以提高活性污泥法反应器内的总生物量和附着相生物浓度，与此同时悬浮相生物浓度相对降低；</w:t>
      </w:r>
    </w:p>
    <w:p>
      <w:pPr>
        <w:ind w:firstLine="480"/>
        <w:rPr>
          <w:rFonts w:cs="Times New Roman"/>
        </w:rPr>
      </w:pPr>
      <w:r>
        <w:rPr>
          <w:rFonts w:cs="Times New Roman"/>
        </w:rPr>
        <w:t>②投加量越大，系统中附着生物量越高；</w:t>
      </w:r>
    </w:p>
    <w:p>
      <w:pPr>
        <w:ind w:firstLine="480"/>
        <w:rPr>
          <w:rFonts w:cs="Times New Roman"/>
        </w:rPr>
      </w:pPr>
      <w:r>
        <w:rPr>
          <w:rFonts w:cs="Times New Roman"/>
        </w:rPr>
        <w:t>③有机负荷增高，系统内总附着生物量及单位载体上附着的生物量均增加，而悬浮相生物则相对减少；</w:t>
      </w:r>
    </w:p>
    <w:p>
      <w:pPr>
        <w:ind w:firstLine="480"/>
        <w:rPr>
          <w:rFonts w:cs="Times New Roman"/>
        </w:rPr>
      </w:pPr>
      <w:r>
        <w:rPr>
          <w:rFonts w:cs="Times New Roman"/>
        </w:rPr>
        <w:t xml:space="preserve">④改变了系统内基质的分配及传质状况； </w:t>
      </w:r>
    </w:p>
    <w:p>
      <w:pPr>
        <w:ind w:firstLine="480"/>
        <w:rPr>
          <w:rFonts w:cs="Times New Roman"/>
        </w:rPr>
      </w:pPr>
      <w:r>
        <w:rPr>
          <w:rFonts w:cs="Times New Roman"/>
        </w:rPr>
        <w:t>⑤能防止活性污泥法系统的污泥沉降性能的恶化，反应器的生物浓度及出水对二沉池的依赖性较小；</w:t>
      </w:r>
    </w:p>
    <w:p>
      <w:pPr>
        <w:ind w:firstLine="480"/>
        <w:rPr>
          <w:rFonts w:cs="Times New Roman"/>
        </w:rPr>
      </w:pPr>
      <w:r>
        <w:rPr>
          <w:rFonts w:cs="Times New Roman"/>
        </w:rPr>
        <w:t>⑥系统内悬浮型生物相的吸氧速率有所降低；</w:t>
      </w:r>
    </w:p>
    <w:p>
      <w:pPr>
        <w:ind w:firstLine="480"/>
        <w:rPr>
          <w:rFonts w:cs="Times New Roman"/>
        </w:rPr>
      </w:pPr>
      <w:r>
        <w:rPr>
          <w:rFonts w:cs="Times New Roman"/>
        </w:rPr>
        <w:t>⑦延长了系统内微生物的滞留时间，即污泥龄得到延长，有助于硝化反应及氨氮的去除率。</w:t>
      </w:r>
    </w:p>
    <w:p>
      <w:pPr>
        <w:ind w:firstLine="480"/>
        <w:rPr>
          <w:rFonts w:cs="Times New Roman"/>
        </w:rPr>
      </w:pPr>
      <w:r>
        <w:rPr>
          <w:rFonts w:cs="Times New Roman"/>
        </w:rPr>
        <w:t>活性污泥法设计参照《室外排水设计规范》（GB 50014-2006）、《厌氧-缺氧-好氧活性污泥法污水处理工程技术规范》（HJ 576-2010）等，主要参数见表5-12。</w:t>
      </w:r>
    </w:p>
    <w:p>
      <w:pPr>
        <w:widowControl/>
        <w:spacing w:line="360" w:lineRule="auto"/>
        <w:ind w:firstLine="0" w:firstLineChars="0"/>
        <w:jc w:val="center"/>
        <w:rPr>
          <w:rFonts w:eastAsia="黑体" w:cs="Times New Roman"/>
          <w:sz w:val="21"/>
        </w:rPr>
      </w:pPr>
      <w:r>
        <w:rPr>
          <w:rFonts w:eastAsia="黑体" w:cs="Times New Roman"/>
          <w:sz w:val="21"/>
        </w:rPr>
        <w:t>表5-12  活性污泥法参考设计参数</w:t>
      </w:r>
    </w:p>
    <w:tbl>
      <w:tblPr>
        <w:tblStyle w:val="2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530"/>
        <w:gridCol w:w="1294"/>
        <w:gridCol w:w="1957"/>
        <w:gridCol w:w="1990"/>
        <w:gridCol w:w="228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844"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参数</w:t>
            </w:r>
          </w:p>
        </w:tc>
        <w:tc>
          <w:tcPr>
            <w:tcW w:w="714"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单位</w:t>
            </w:r>
          </w:p>
        </w:tc>
        <w:tc>
          <w:tcPr>
            <w:tcW w:w="1080"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去除COD（好氧污泥法）</w:t>
            </w:r>
          </w:p>
        </w:tc>
        <w:tc>
          <w:tcPr>
            <w:tcW w:w="1098"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去除总氮（缺氧-好氧活性污泥法）</w:t>
            </w:r>
          </w:p>
        </w:tc>
        <w:tc>
          <w:tcPr>
            <w:tcW w:w="1263"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去除总氮、总磷（厌氧-缺氧-好氧活性污泥法）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78" w:hRule="atLeast"/>
        </w:trPr>
        <w:tc>
          <w:tcPr>
            <w:tcW w:w="844"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sz w:val="20"/>
                <w:szCs w:val="18"/>
              </w:rPr>
            </w:pPr>
            <w:r>
              <w:rPr>
                <w:rFonts w:ascii="Times New Roman"/>
                <w:sz w:val="20"/>
                <w:szCs w:val="18"/>
              </w:rPr>
              <w:t>反应池五日生化需氧量污泥负荷</w:t>
            </w:r>
          </w:p>
        </w:tc>
        <w:tc>
          <w:tcPr>
            <w:tcW w:w="714"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sz w:val="20"/>
                <w:szCs w:val="18"/>
              </w:rPr>
            </w:pPr>
            <w:r>
              <w:rPr>
                <w:rFonts w:ascii="Times New Roman"/>
                <w:sz w:val="20"/>
                <w:szCs w:val="18"/>
              </w:rPr>
              <w:t>kgBOD</w:t>
            </w:r>
            <w:r>
              <w:rPr>
                <w:rFonts w:ascii="Times New Roman"/>
                <w:sz w:val="20"/>
                <w:szCs w:val="18"/>
                <w:vertAlign w:val="subscript"/>
              </w:rPr>
              <w:t>5</w:t>
            </w:r>
            <w:r>
              <w:rPr>
                <w:rFonts w:ascii="Times New Roman"/>
                <w:sz w:val="20"/>
                <w:szCs w:val="18"/>
              </w:rPr>
              <w:t xml:space="preserve"> /(kgMLSS·d)</w:t>
            </w:r>
          </w:p>
        </w:tc>
        <w:tc>
          <w:tcPr>
            <w:tcW w:w="1080"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sz w:val="20"/>
                <w:szCs w:val="18"/>
              </w:rPr>
            </w:pPr>
            <w:r>
              <w:rPr>
                <w:rFonts w:ascii="Times New Roman"/>
                <w:sz w:val="20"/>
                <w:szCs w:val="18"/>
              </w:rPr>
              <w:t>0.2</w:t>
            </w:r>
            <w:r>
              <w:rPr>
                <w:rFonts w:ascii="Times New Roman"/>
                <w:sz w:val="20"/>
              </w:rPr>
              <w:t>～0.4</w:t>
            </w:r>
          </w:p>
        </w:tc>
        <w:tc>
          <w:tcPr>
            <w:tcW w:w="1098"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sz w:val="20"/>
                <w:szCs w:val="18"/>
              </w:rPr>
            </w:pPr>
            <w:r>
              <w:rPr>
                <w:rFonts w:ascii="Times New Roman"/>
                <w:sz w:val="20"/>
                <w:szCs w:val="18"/>
              </w:rPr>
              <w:t>0.05</w:t>
            </w:r>
            <w:r>
              <w:rPr>
                <w:rFonts w:ascii="Times New Roman"/>
                <w:sz w:val="20"/>
              </w:rPr>
              <w:t>～0.15</w:t>
            </w:r>
          </w:p>
        </w:tc>
        <w:tc>
          <w:tcPr>
            <w:tcW w:w="1263"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sz w:val="20"/>
                <w:szCs w:val="18"/>
              </w:rPr>
            </w:pPr>
            <w:r>
              <w:rPr>
                <w:rFonts w:ascii="Times New Roman"/>
                <w:sz w:val="20"/>
                <w:szCs w:val="18"/>
              </w:rPr>
              <w:t>0.1</w:t>
            </w:r>
            <w:r>
              <w:rPr>
                <w:rFonts w:ascii="Times New Roman"/>
                <w:sz w:val="20"/>
              </w:rPr>
              <w:t>～0.2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844"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sz w:val="20"/>
                <w:szCs w:val="18"/>
              </w:rPr>
            </w:pPr>
            <w:r>
              <w:rPr>
                <w:rFonts w:ascii="Times New Roman"/>
                <w:sz w:val="20"/>
                <w:szCs w:val="18"/>
              </w:rPr>
              <w:t>反应池混合液悬浮固体平均质量浓度</w:t>
            </w:r>
          </w:p>
        </w:tc>
        <w:tc>
          <w:tcPr>
            <w:tcW w:w="714"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sz w:val="20"/>
                <w:szCs w:val="18"/>
              </w:rPr>
            </w:pPr>
            <w:r>
              <w:rPr>
                <w:rFonts w:ascii="Times New Roman"/>
                <w:sz w:val="20"/>
                <w:szCs w:val="18"/>
              </w:rPr>
              <w:t>gMLSS/L</w:t>
            </w:r>
          </w:p>
        </w:tc>
        <w:tc>
          <w:tcPr>
            <w:tcW w:w="1080"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sz w:val="20"/>
                <w:szCs w:val="18"/>
              </w:rPr>
            </w:pPr>
            <w:r>
              <w:rPr>
                <w:rFonts w:ascii="Times New Roman"/>
                <w:sz w:val="20"/>
                <w:szCs w:val="18"/>
              </w:rPr>
              <w:t>1.5</w:t>
            </w:r>
            <w:r>
              <w:rPr>
                <w:rFonts w:ascii="Times New Roman"/>
                <w:sz w:val="20"/>
              </w:rPr>
              <w:t>～2.5</w:t>
            </w:r>
          </w:p>
        </w:tc>
        <w:tc>
          <w:tcPr>
            <w:tcW w:w="1098"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sz w:val="20"/>
                <w:szCs w:val="18"/>
              </w:rPr>
            </w:pPr>
            <w:r>
              <w:rPr>
                <w:rFonts w:ascii="Times New Roman"/>
                <w:sz w:val="20"/>
                <w:szCs w:val="18"/>
              </w:rPr>
              <w:t>2.5</w:t>
            </w:r>
            <w:r>
              <w:rPr>
                <w:rFonts w:ascii="Times New Roman"/>
                <w:sz w:val="20"/>
              </w:rPr>
              <w:t>～4.5</w:t>
            </w:r>
          </w:p>
        </w:tc>
        <w:tc>
          <w:tcPr>
            <w:tcW w:w="1263"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sz w:val="20"/>
                <w:szCs w:val="18"/>
              </w:rPr>
            </w:pPr>
            <w:r>
              <w:rPr>
                <w:rFonts w:ascii="Times New Roman"/>
                <w:sz w:val="20"/>
                <w:szCs w:val="18"/>
              </w:rPr>
              <w:t>2.5</w:t>
            </w:r>
            <w:r>
              <w:rPr>
                <w:rFonts w:ascii="Times New Roman"/>
                <w:sz w:val="20"/>
              </w:rPr>
              <w:t>～4.5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844"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sz w:val="20"/>
                <w:szCs w:val="18"/>
              </w:rPr>
            </w:pPr>
            <w:r>
              <w:rPr>
                <w:rFonts w:ascii="Times New Roman"/>
                <w:sz w:val="20"/>
                <w:szCs w:val="18"/>
              </w:rPr>
              <w:t>水力停留时间</w:t>
            </w:r>
          </w:p>
        </w:tc>
        <w:tc>
          <w:tcPr>
            <w:tcW w:w="714"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sz w:val="20"/>
                <w:szCs w:val="18"/>
              </w:rPr>
            </w:pPr>
            <w:r>
              <w:rPr>
                <w:rFonts w:ascii="Times New Roman"/>
                <w:sz w:val="20"/>
                <w:szCs w:val="18"/>
              </w:rPr>
              <w:t>h</w:t>
            </w:r>
          </w:p>
        </w:tc>
        <w:tc>
          <w:tcPr>
            <w:tcW w:w="1080"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sz w:val="20"/>
                <w:szCs w:val="18"/>
              </w:rPr>
            </w:pPr>
            <w:r>
              <w:rPr>
                <w:rFonts w:ascii="Times New Roman"/>
                <w:sz w:val="20"/>
                <w:szCs w:val="18"/>
              </w:rPr>
              <w:t>6</w:t>
            </w:r>
            <w:r>
              <w:rPr>
                <w:rFonts w:ascii="Times New Roman"/>
                <w:sz w:val="20"/>
              </w:rPr>
              <w:t>～12</w:t>
            </w:r>
          </w:p>
        </w:tc>
        <w:tc>
          <w:tcPr>
            <w:tcW w:w="1098"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sz w:val="20"/>
                <w:szCs w:val="18"/>
              </w:rPr>
            </w:pPr>
            <w:r>
              <w:rPr>
                <w:rFonts w:ascii="Times New Roman"/>
                <w:sz w:val="20"/>
                <w:szCs w:val="18"/>
              </w:rPr>
              <w:t>8</w:t>
            </w:r>
            <w:r>
              <w:rPr>
                <w:rFonts w:ascii="Times New Roman"/>
                <w:sz w:val="20"/>
              </w:rPr>
              <w:t>～16，其中缺氧段0.5～3</w:t>
            </w:r>
          </w:p>
        </w:tc>
        <w:tc>
          <w:tcPr>
            <w:tcW w:w="1263"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ind w:firstLine="0" w:firstLineChars="0"/>
              <w:jc w:val="center"/>
              <w:rPr>
                <w:rFonts w:ascii="Times New Roman"/>
                <w:sz w:val="20"/>
                <w:szCs w:val="18"/>
              </w:rPr>
            </w:pPr>
            <w:r>
              <w:rPr>
                <w:rFonts w:ascii="Times New Roman"/>
                <w:sz w:val="20"/>
                <w:szCs w:val="18"/>
              </w:rPr>
              <w:t>7</w:t>
            </w:r>
            <w:r>
              <w:rPr>
                <w:rFonts w:ascii="Times New Roman"/>
                <w:sz w:val="20"/>
              </w:rPr>
              <w:t>～14，其中厌氧1～2，缺氧0.5～3</w:t>
            </w:r>
          </w:p>
        </w:tc>
      </w:tr>
    </w:tbl>
    <w:p>
      <w:pPr>
        <w:ind w:firstLine="480"/>
        <w:rPr>
          <w:rFonts w:cs="Times New Roman"/>
        </w:rPr>
      </w:pPr>
      <w:r>
        <w:rPr>
          <w:rFonts w:cs="Times New Roman"/>
        </w:rPr>
        <w:t>（4）移动床生物膜反应器</w:t>
      </w:r>
    </w:p>
    <w:p>
      <w:pPr>
        <w:ind w:firstLine="480"/>
        <w:rPr>
          <w:rFonts w:cs="Times New Roman"/>
        </w:rPr>
      </w:pPr>
      <w:r>
        <w:rPr>
          <w:rFonts w:cs="Times New Roman"/>
        </w:rPr>
        <w:t>MBBR工艺原理是通过向反应器中投加一定数量的悬浮载体，提高反应器中的生物量及生物种类，从而提高反应器的处理效率。由于填料密度接近于水，所以在曝气的时候，与水呈完全混合状态，微生物生长的环境为气、液、固三相。载体在水中的碰撞和剪切作用，使空气气泡更加细小，增加了氧气的利用率。另外，每个载体内外均具有不同的生物种类，内部生长一些厌氧菌或兼氧菌，外部为好养菌，这样每个载体都为一个微型反应器，使硝化反应和反硝化反应同时存在，从而提高了处理效果。MBBR的核心是增加填料，独特设计的填料在鼓风曝气的扰动下在反应池中随水流浮动，带动附着生长的生物菌群与水体中的污染物和氧气充分接触，污染物通过吸附和扩散作用进入生物膜内，被微生物降解。附着生长的微生物可以达到很高的生物量，因此反应池内生物浓度是悬浮生长活性污泥工艺的数倍，降解效率也成倍提高。</w:t>
      </w:r>
    </w:p>
    <w:p>
      <w:pPr>
        <w:ind w:firstLine="480"/>
        <w:rPr>
          <w:rFonts w:cs="Times New Roman"/>
        </w:rPr>
      </w:pPr>
      <w:r>
        <w:rPr>
          <w:rFonts w:cs="Times New Roman"/>
        </w:rPr>
        <w:t>好氧—缺氧移动床生物膜反应器原理：好氧反应器：好氧曝气时，悬浮载体被充分地搅拌与水流混合，而空气又被充分地分割成细小的气泡，增加了生物膜与氧气的接触和传氧效率。缺氧反应器：在缺氧条件下，水流和悬浮载体在潜水搅拌器的作用下充分流动起来，达到生物膜和被处理的污染物充分接触实现生物分解的目的。</w:t>
      </w:r>
    </w:p>
    <w:p>
      <w:pPr>
        <w:pStyle w:val="64"/>
        <w:ind w:firstLine="360"/>
        <w:rPr>
          <w:rFonts w:cs="Times New Roman"/>
        </w:rPr>
      </w:pPr>
      <w:r>
        <w:rPr>
          <w:rFonts w:cs="Times New Roman"/>
        </w:rPr>
        <w:drawing>
          <wp:inline distT="0" distB="0" distL="0" distR="0">
            <wp:extent cx="4558030" cy="611505"/>
            <wp:effectExtent l="0" t="0" r="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4558240" cy="612000"/>
                    </a:xfrm>
                    <a:prstGeom prst="rect">
                      <a:avLst/>
                    </a:prstGeom>
                    <a:noFill/>
                    <a:ln>
                      <a:noFill/>
                    </a:ln>
                  </pic:spPr>
                </pic:pic>
              </a:graphicData>
            </a:graphic>
          </wp:inline>
        </w:drawing>
      </w:r>
    </w:p>
    <w:p>
      <w:pPr>
        <w:ind w:firstLine="0" w:firstLineChars="0"/>
        <w:jc w:val="center"/>
        <w:rPr>
          <w:rFonts w:eastAsia="黑体" w:cs="Times New Roman"/>
          <w:sz w:val="21"/>
        </w:rPr>
      </w:pPr>
      <w:r>
        <w:rPr>
          <w:rFonts w:eastAsia="黑体" w:cs="Times New Roman"/>
          <w:sz w:val="21"/>
        </w:rPr>
        <w:t>图5-11  MBBR工艺流程图</w:t>
      </w:r>
    </w:p>
    <w:p>
      <w:pPr>
        <w:ind w:firstLine="480"/>
        <w:rPr>
          <w:rFonts w:cs="Times New Roman"/>
        </w:rPr>
      </w:pPr>
      <w:r>
        <w:rPr>
          <w:rFonts w:cs="Times New Roman"/>
        </w:rPr>
        <w:t>与活性污泥法和固定填料生物膜法相比，MBBR既具有活性污泥法的高效性和运转灵活性，又具有传统生物膜法耐冲击负荷、泥龄长、剩余污泥少的特点。</w:t>
      </w:r>
    </w:p>
    <w:p>
      <w:pPr>
        <w:ind w:firstLine="480"/>
        <w:rPr>
          <w:rFonts w:cs="Times New Roman"/>
        </w:rPr>
      </w:pPr>
      <w:r>
        <w:rPr>
          <w:rFonts w:cs="Times New Roman"/>
        </w:rPr>
        <w:t>①填料特点：填料多为聚乙烯、聚丙烯及其改性材料、聚氨酯泡沫体等制成的，比重接近于水，以圆柱状和球状为主，易于挂膜，不结团、不堵塞、脱膜容易。</w:t>
      </w:r>
    </w:p>
    <w:p>
      <w:pPr>
        <w:ind w:firstLine="480"/>
        <w:rPr>
          <w:rFonts w:cs="Times New Roman"/>
        </w:rPr>
      </w:pPr>
      <w:r>
        <w:rPr>
          <w:rFonts w:cs="Times New Roman"/>
        </w:rPr>
        <w:t>②良好的脱氮能力：填料上形成好养、缺氧和厌氧环境，硝化和反硝化反应能够在一个反应器内发生，对氨氮的去除具有良好的效果。</w:t>
      </w:r>
    </w:p>
    <w:p>
      <w:pPr>
        <w:ind w:firstLine="480"/>
        <w:rPr>
          <w:rFonts w:cs="Times New Roman"/>
        </w:rPr>
      </w:pPr>
      <w:r>
        <w:rPr>
          <w:rFonts w:cs="Times New Roman"/>
        </w:rPr>
        <w:t>③去除有机物效果好：反应器内污泥浓度较高，一般污泥浓度为普通活性污泥法的5～10倍，可高达30～40g/L。</w:t>
      </w:r>
    </w:p>
    <w:p>
      <w:pPr>
        <w:ind w:firstLine="480"/>
        <w:rPr>
          <w:rFonts w:cs="Times New Roman"/>
        </w:rPr>
      </w:pPr>
      <w:r>
        <w:rPr>
          <w:rFonts w:cs="Times New Roman"/>
        </w:rPr>
        <w:t>④抗冲击能力强：高浓度的微生物和附着生长方式可有效分散来水水质波动，出水稳定。</w:t>
      </w:r>
    </w:p>
    <w:p>
      <w:pPr>
        <w:ind w:firstLine="480"/>
        <w:rPr>
          <w:rFonts w:cs="Times New Roman"/>
        </w:rPr>
      </w:pPr>
      <w:r>
        <w:rPr>
          <w:rFonts w:cs="Times New Roman"/>
        </w:rPr>
        <w:t>⑤易于维护管理：曝气池内无需设置填料支架，对填料以及池底的曝气装置的维护方便，同时能够节省投资及占地面积。</w:t>
      </w:r>
    </w:p>
    <w:p>
      <w:pPr>
        <w:ind w:firstLine="482"/>
        <w:rPr>
          <w:rFonts w:cs="Times New Roman"/>
          <w:b/>
          <w:kern w:val="0"/>
        </w:rPr>
      </w:pPr>
      <w:r>
        <w:rPr>
          <w:rFonts w:cs="Times New Roman"/>
          <w:b/>
          <w:kern w:val="0"/>
        </w:rPr>
        <w:t>2、出水回用于农田灌溉</w:t>
      </w:r>
    </w:p>
    <w:p>
      <w:pPr>
        <w:ind w:firstLine="480"/>
        <w:rPr>
          <w:rFonts w:cs="Times New Roman"/>
        </w:rPr>
      </w:pPr>
      <w:r>
        <w:rPr>
          <w:rFonts w:cs="Times New Roman"/>
        </w:rPr>
        <w:t>根据农村生活污水处理设施排水去向，新建污水处理设施出水执行《农田灌溉水质标准》（GB 5084-2005）旱作灌溉要求。根据进出水水质分析，当用于农业灌溉时，主要需要对悬浮物进行处理（悬浮物去除同时也将去除部分COD），</w:t>
      </w:r>
      <w:r>
        <w:rPr>
          <w:rFonts w:cs="Times New Roman"/>
          <w:kern w:val="0"/>
        </w:rPr>
        <w:t>可采用人工湿地或</w:t>
      </w:r>
      <w:r>
        <w:rPr>
          <w:rFonts w:cs="Times New Roman"/>
          <w:szCs w:val="24"/>
        </w:rPr>
        <w:t>土地处理</w:t>
      </w:r>
      <w:r>
        <w:rPr>
          <w:rFonts w:cs="Times New Roman"/>
          <w:kern w:val="0"/>
        </w:rPr>
        <w:t>。</w:t>
      </w:r>
    </w:p>
    <w:p>
      <w:pPr>
        <w:ind w:firstLine="480"/>
        <w:rPr>
          <w:rFonts w:cs="Times New Roman"/>
          <w:kern w:val="0"/>
        </w:rPr>
      </w:pPr>
      <w:r>
        <w:rPr>
          <w:rFonts w:cs="Times New Roman"/>
          <w:kern w:val="0"/>
        </w:rPr>
        <w:t>（1）人工湿地</w:t>
      </w:r>
    </w:p>
    <w:p>
      <w:pPr>
        <w:ind w:firstLine="480"/>
        <w:rPr>
          <w:rFonts w:cs="Times New Roman"/>
        </w:rPr>
      </w:pPr>
      <w:r>
        <w:rPr>
          <w:rFonts w:cs="Times New Roman"/>
        </w:rPr>
        <w:t>适用范围：适用于居住相对集中、当地水环境容量大、对出水水质要求不高、村庄经济基础相对较弱的村庄生活污水处理。排水高差≥0.2 米的村庄可利用其地形落差，避免水泵提升。</w:t>
      </w:r>
    </w:p>
    <w:p>
      <w:pPr>
        <w:ind w:firstLine="480"/>
        <w:rPr>
          <w:rFonts w:cs="Times New Roman"/>
        </w:rPr>
      </w:pPr>
      <w:r>
        <w:rPr>
          <w:rFonts w:cs="Times New Roman"/>
        </w:rPr>
        <w:t>处理流程：污水处理工艺的整个流程如图5-12所示。</w:t>
      </w:r>
    </w:p>
    <w:p>
      <w:pPr>
        <w:spacing w:line="240" w:lineRule="auto"/>
        <w:ind w:firstLine="0" w:firstLineChars="0"/>
        <w:jc w:val="center"/>
        <w:rPr>
          <w:rFonts w:eastAsia="仿宋" w:cs="Times New Roman"/>
          <w:sz w:val="28"/>
        </w:rPr>
      </w:pPr>
      <w:r>
        <w:rPr>
          <w:rFonts w:eastAsia="等线" w:cs="Times New Roman"/>
          <w:sz w:val="21"/>
        </w:rPr>
        <w:drawing>
          <wp:inline distT="0" distB="0" distL="0" distR="0">
            <wp:extent cx="4580255" cy="501015"/>
            <wp:effectExtent l="0" t="0" r="0"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4580255" cy="501015"/>
                    </a:xfrm>
                    <a:prstGeom prst="rect">
                      <a:avLst/>
                    </a:prstGeom>
                    <a:noFill/>
                    <a:ln>
                      <a:noFill/>
                    </a:ln>
                  </pic:spPr>
                </pic:pic>
              </a:graphicData>
            </a:graphic>
          </wp:inline>
        </w:drawing>
      </w:r>
    </w:p>
    <w:p>
      <w:pPr>
        <w:pStyle w:val="16"/>
        <w:ind w:firstLine="0" w:firstLineChars="0"/>
        <w:rPr>
          <w:rFonts w:eastAsia="黑体" w:cs="Times New Roman"/>
          <w:b w:val="0"/>
          <w:bCs/>
        </w:rPr>
      </w:pPr>
      <w:r>
        <w:rPr>
          <w:rFonts w:eastAsia="黑体" w:cs="Times New Roman"/>
          <w:b w:val="0"/>
          <w:bCs/>
        </w:rPr>
        <w:t>图</w:t>
      </w:r>
      <w:r>
        <w:rPr>
          <w:rFonts w:eastAsia="黑体" w:cs="Times New Roman"/>
          <w:b w:val="0"/>
        </w:rPr>
        <w:t>5-12人工湿地</w:t>
      </w:r>
      <w:r>
        <w:rPr>
          <w:rFonts w:eastAsia="黑体" w:cs="Times New Roman"/>
          <w:b w:val="0"/>
          <w:bCs/>
        </w:rPr>
        <w:t>处理工艺流程示意图</w:t>
      </w:r>
    </w:p>
    <w:p>
      <w:pPr>
        <w:ind w:firstLine="480"/>
        <w:rPr>
          <w:rFonts w:cs="Times New Roman"/>
        </w:rPr>
      </w:pPr>
      <w:r>
        <w:rPr>
          <w:rFonts w:cs="Times New Roman"/>
        </w:rPr>
        <w:t>当采用人工湿地处理污水时，进水COD不宜大于200mg/L，氨氮不宜大于25mg/L，悬浮物不宜大于80mg/L，因此在污水进入人工湿地前，需要先进行预处理。</w:t>
      </w:r>
    </w:p>
    <w:p>
      <w:pPr>
        <w:ind w:firstLine="480"/>
        <w:rPr>
          <w:rFonts w:cs="Times New Roman"/>
        </w:rPr>
      </w:pPr>
      <w:r>
        <w:rPr>
          <w:rFonts w:cs="Times New Roman"/>
        </w:rPr>
        <w:t>人工湿地技术是模仿天然湿地生态自净效应的一类污水处理工程净化技术，将污水有控制地投配到土壤</w:t>
      </w:r>
      <w:r>
        <w:rPr>
          <w:rFonts w:cs="Times New Roman"/>
          <w:spacing w:val="-1"/>
        </w:rPr>
        <w:t>-</w:t>
      </w:r>
      <w:r>
        <w:rPr>
          <w:rFonts w:cs="Times New Roman"/>
        </w:rPr>
        <w:t>植物</w:t>
      </w:r>
      <w:r>
        <w:rPr>
          <w:rFonts w:cs="Times New Roman"/>
          <w:spacing w:val="-1"/>
        </w:rPr>
        <w:t>-</w:t>
      </w:r>
      <w:r>
        <w:rPr>
          <w:rFonts w:cs="Times New Roman"/>
          <w:spacing w:val="1"/>
        </w:rPr>
        <w:t>微</w:t>
      </w:r>
      <w:r>
        <w:rPr>
          <w:rFonts w:cs="Times New Roman"/>
        </w:rPr>
        <w:t>生物构成的复合系统中</w:t>
      </w:r>
      <w:r>
        <w:rPr>
          <w:rFonts w:cs="Times New Roman"/>
          <w:spacing w:val="-47"/>
        </w:rPr>
        <w:t>，</w:t>
      </w:r>
      <w:r>
        <w:rPr>
          <w:rFonts w:cs="Times New Roman"/>
        </w:rPr>
        <w:t>污水在该系统内沿一定方向流动过程中</w:t>
      </w:r>
      <w:r>
        <w:rPr>
          <w:rFonts w:cs="Times New Roman"/>
          <w:spacing w:val="-47"/>
        </w:rPr>
        <w:t>，</w:t>
      </w:r>
      <w:r>
        <w:rPr>
          <w:rFonts w:cs="Times New Roman"/>
        </w:rPr>
        <w:t>在土壤和耐湿植物联合作用下使污水得到净化处理。人工湿地建设施工方便，构筑物和处理设备配置少；运行费用低廉。选择合适的植物品种还可以美化环境，改善景观。</w:t>
      </w:r>
    </w:p>
    <w:p>
      <w:pPr>
        <w:ind w:firstLine="480"/>
        <w:rPr>
          <w:rFonts w:cs="Times New Roman"/>
        </w:rPr>
      </w:pPr>
      <w:r>
        <w:rPr>
          <w:rFonts w:cs="Times New Roman"/>
        </w:rPr>
        <w:t>综合考虑气温以及建设成本，采用潜流人工湿地，处理后出水可就地利用。为保证冬季污水处理效果，当气温低于12℃时，应加装阳光棚、植被覆盖等保温措施。同时，为防止污水可能进入地下污染地下水，应采取防渗等有效措施。</w:t>
      </w:r>
    </w:p>
    <w:p>
      <w:pPr>
        <w:pStyle w:val="19"/>
        <w:spacing w:line="360" w:lineRule="auto"/>
        <w:ind w:left="480" w:firstLine="0" w:firstLineChars="0"/>
        <w:jc w:val="center"/>
      </w:pPr>
      <w:r>
        <w:object>
          <v:shape id="_x0000_i1025" o:spt="75" type="#_x0000_t75" style="height:141pt;width:311.25pt;" o:ole="t" filled="f" o:preferrelative="t" stroked="f" coordsize="21600,21600">
            <v:path/>
            <v:fill on="f" focussize="0,0"/>
            <v:stroke on="f" joinstyle="miter"/>
            <v:imagedata r:id="rId81" cropleft="5070f" croptop="9228f" cropright="10927f" cropbottom="14325f" o:title=""/>
            <o:lock v:ext="edit" aspectratio="t"/>
            <w10:wrap type="none"/>
            <w10:anchorlock/>
          </v:shape>
          <o:OLEObject Type="Embed" ProgID="AutoCAD.Drawing.16" ShapeID="_x0000_i1025" DrawAspect="Content" ObjectID="_1468075725" r:id="rId80">
            <o:LockedField>false</o:LockedField>
          </o:OLEObject>
        </w:object>
      </w:r>
    </w:p>
    <w:p>
      <w:pPr>
        <w:pStyle w:val="16"/>
        <w:ind w:firstLine="0" w:firstLineChars="0"/>
        <w:rPr>
          <w:rFonts w:eastAsia="黑体" w:cs="Times New Roman"/>
          <w:b w:val="0"/>
          <w:bCs/>
        </w:rPr>
      </w:pPr>
      <w:r>
        <w:rPr>
          <w:rFonts w:eastAsia="黑体" w:cs="Times New Roman"/>
          <w:b w:val="0"/>
          <w:bCs/>
        </w:rPr>
        <w:t>图5-13  潜流人工湿地示意图</w:t>
      </w:r>
    </w:p>
    <w:p>
      <w:pPr>
        <w:ind w:firstLine="480"/>
        <w:rPr>
          <w:rFonts w:cs="Times New Roman"/>
        </w:rPr>
      </w:pPr>
      <w:r>
        <w:rPr>
          <w:rFonts w:cs="Times New Roman"/>
        </w:rPr>
        <w:t>人工湿地结构和参数设计可参考《人工湿地污水处理工程技术规范》（HJ 2005-2010）和《人工湿地污水处理技术规程》（DG/TJ08-2100-2012）等技术规范进行。</w:t>
      </w:r>
    </w:p>
    <w:p>
      <w:pPr>
        <w:pStyle w:val="44"/>
        <w:numPr>
          <w:ilvl w:val="0"/>
          <w:numId w:val="8"/>
        </w:numPr>
        <w:ind w:firstLineChars="0"/>
        <w:rPr>
          <w:rFonts w:cs="Times New Roman"/>
          <w:b/>
        </w:rPr>
      </w:pPr>
      <w:r>
        <w:rPr>
          <w:rFonts w:cs="Times New Roman"/>
        </w:rPr>
        <w:t>潜流人工湿地污染负荷设计参数见表5-13。</w:t>
      </w:r>
    </w:p>
    <w:p>
      <w:pPr>
        <w:widowControl/>
        <w:spacing w:line="360" w:lineRule="auto"/>
        <w:ind w:firstLine="0" w:firstLineChars="0"/>
        <w:jc w:val="center"/>
        <w:rPr>
          <w:rFonts w:eastAsia="黑体" w:cs="Times New Roman"/>
          <w:sz w:val="21"/>
        </w:rPr>
      </w:pPr>
      <w:r>
        <w:rPr>
          <w:rFonts w:eastAsia="黑体" w:cs="Times New Roman"/>
          <w:sz w:val="21"/>
        </w:rPr>
        <w:t>表5-13  人工湿地参考设计参数</w:t>
      </w:r>
    </w:p>
    <w:tbl>
      <w:tblPr>
        <w:tblStyle w:val="2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3692"/>
        <w:gridCol w:w="2684"/>
        <w:gridCol w:w="26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038"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spacing w:line="276" w:lineRule="auto"/>
              <w:ind w:firstLine="0" w:firstLineChars="0"/>
              <w:jc w:val="center"/>
              <w:rPr>
                <w:rFonts w:ascii="Times New Roman"/>
                <w:kern w:val="2"/>
                <w:szCs w:val="18"/>
              </w:rPr>
            </w:pPr>
            <w:r>
              <w:rPr>
                <w:rFonts w:ascii="Times New Roman"/>
                <w:kern w:val="2"/>
                <w:szCs w:val="18"/>
              </w:rPr>
              <w:t>参数</w:t>
            </w:r>
          </w:p>
        </w:tc>
        <w:tc>
          <w:tcPr>
            <w:tcW w:w="1481"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spacing w:line="276" w:lineRule="auto"/>
              <w:ind w:firstLine="0" w:firstLineChars="0"/>
              <w:jc w:val="center"/>
              <w:rPr>
                <w:rFonts w:ascii="Times New Roman"/>
                <w:kern w:val="2"/>
                <w:szCs w:val="18"/>
              </w:rPr>
            </w:pPr>
            <w:r>
              <w:rPr>
                <w:rFonts w:ascii="Times New Roman"/>
                <w:kern w:val="2"/>
                <w:szCs w:val="18"/>
              </w:rPr>
              <w:t>水平潜流人工湿地</w:t>
            </w:r>
          </w:p>
        </w:tc>
        <w:tc>
          <w:tcPr>
            <w:tcW w:w="1481" w:type="pct"/>
            <w:tcBorders>
              <w:top w:val="single" w:color="000000" w:sz="4" w:space="0"/>
              <w:left w:val="single" w:color="000000" w:sz="4" w:space="0"/>
              <w:bottom w:val="single" w:color="000000" w:sz="4" w:space="0"/>
              <w:right w:val="single" w:color="000000" w:sz="4" w:space="0"/>
            </w:tcBorders>
          </w:tcPr>
          <w:p>
            <w:pPr>
              <w:pStyle w:val="91"/>
              <w:adjustRightInd w:val="0"/>
              <w:snapToGrid w:val="0"/>
              <w:spacing w:line="276" w:lineRule="auto"/>
              <w:ind w:firstLine="0" w:firstLineChars="0"/>
              <w:jc w:val="center"/>
              <w:rPr>
                <w:rFonts w:ascii="Times New Roman"/>
                <w:kern w:val="2"/>
                <w:szCs w:val="18"/>
              </w:rPr>
            </w:pPr>
            <w:r>
              <w:rPr>
                <w:rFonts w:ascii="Times New Roman"/>
                <w:kern w:val="2"/>
                <w:szCs w:val="18"/>
              </w:rPr>
              <w:t>垂直潜流人工湿地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038"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spacing w:line="276" w:lineRule="auto"/>
              <w:ind w:firstLine="0" w:firstLineChars="0"/>
              <w:jc w:val="center"/>
              <w:rPr>
                <w:rFonts w:ascii="Times New Roman"/>
                <w:kern w:val="2"/>
                <w:szCs w:val="18"/>
              </w:rPr>
            </w:pPr>
            <w:r>
              <w:rPr>
                <w:rFonts w:ascii="Times New Roman"/>
                <w:kern w:val="2"/>
                <w:szCs w:val="18"/>
              </w:rPr>
              <w:t>人口当量表面积（m</w:t>
            </w:r>
            <w:r>
              <w:rPr>
                <w:rFonts w:ascii="Times New Roman"/>
                <w:kern w:val="2"/>
                <w:szCs w:val="18"/>
                <w:vertAlign w:val="superscript"/>
              </w:rPr>
              <w:t>2</w:t>
            </w:r>
            <w:r>
              <w:rPr>
                <w:rFonts w:ascii="Times New Roman"/>
                <w:kern w:val="2"/>
                <w:szCs w:val="18"/>
              </w:rPr>
              <w:t>/人）</w:t>
            </w:r>
          </w:p>
        </w:tc>
        <w:tc>
          <w:tcPr>
            <w:tcW w:w="1481"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spacing w:line="276" w:lineRule="auto"/>
              <w:ind w:firstLine="0" w:firstLineChars="0"/>
              <w:jc w:val="center"/>
              <w:rPr>
                <w:rFonts w:ascii="Times New Roman"/>
                <w:kern w:val="2"/>
                <w:szCs w:val="18"/>
              </w:rPr>
            </w:pPr>
            <w:r>
              <w:rPr>
                <w:rFonts w:ascii="Times New Roman"/>
                <w:kern w:val="2"/>
                <w:szCs w:val="18"/>
              </w:rPr>
              <w:t>≥5</w:t>
            </w:r>
          </w:p>
        </w:tc>
        <w:tc>
          <w:tcPr>
            <w:tcW w:w="1481" w:type="pct"/>
            <w:tcBorders>
              <w:top w:val="single" w:color="000000" w:sz="4" w:space="0"/>
              <w:left w:val="single" w:color="000000" w:sz="4" w:space="0"/>
              <w:bottom w:val="single" w:color="000000" w:sz="4" w:space="0"/>
              <w:right w:val="single" w:color="000000" w:sz="4" w:space="0"/>
            </w:tcBorders>
          </w:tcPr>
          <w:p>
            <w:pPr>
              <w:pStyle w:val="91"/>
              <w:adjustRightInd w:val="0"/>
              <w:snapToGrid w:val="0"/>
              <w:spacing w:line="276" w:lineRule="auto"/>
              <w:ind w:firstLine="0" w:firstLineChars="0"/>
              <w:jc w:val="center"/>
              <w:rPr>
                <w:rFonts w:ascii="Times New Roman"/>
                <w:kern w:val="2"/>
                <w:szCs w:val="18"/>
              </w:rPr>
            </w:pPr>
            <w:r>
              <w:rPr>
                <w:rFonts w:ascii="Times New Roman"/>
                <w:kern w:val="2"/>
                <w:szCs w:val="18"/>
              </w:rPr>
              <w:t>≥2.5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038"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spacing w:line="276" w:lineRule="auto"/>
              <w:ind w:firstLine="0" w:firstLineChars="0"/>
              <w:jc w:val="center"/>
              <w:rPr>
                <w:rFonts w:ascii="Times New Roman"/>
                <w:kern w:val="2"/>
                <w:szCs w:val="18"/>
              </w:rPr>
            </w:pPr>
            <w:r>
              <w:rPr>
                <w:rFonts w:ascii="Times New Roman"/>
                <w:kern w:val="2"/>
                <w:szCs w:val="18"/>
              </w:rPr>
              <w:t>表面BOD</w:t>
            </w:r>
            <w:r>
              <w:rPr>
                <w:rFonts w:ascii="Times New Roman"/>
                <w:kern w:val="2"/>
                <w:szCs w:val="18"/>
                <w:vertAlign w:val="subscript"/>
              </w:rPr>
              <w:t>5</w:t>
            </w:r>
            <w:r>
              <w:rPr>
                <w:rFonts w:ascii="Times New Roman"/>
                <w:kern w:val="2"/>
                <w:szCs w:val="18"/>
              </w:rPr>
              <w:t>负荷（g/m</w:t>
            </w:r>
            <w:r>
              <w:rPr>
                <w:rFonts w:ascii="Times New Roman"/>
                <w:kern w:val="2"/>
                <w:szCs w:val="18"/>
                <w:vertAlign w:val="superscript"/>
              </w:rPr>
              <w:t>2</w:t>
            </w:r>
            <w:r>
              <w:rPr>
                <w:rFonts w:ascii="Times New Roman"/>
                <w:kern w:val="2"/>
                <w:szCs w:val="18"/>
              </w:rPr>
              <w:t>·d）</w:t>
            </w:r>
          </w:p>
        </w:tc>
        <w:tc>
          <w:tcPr>
            <w:tcW w:w="1481"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spacing w:line="276" w:lineRule="auto"/>
              <w:ind w:firstLine="0" w:firstLineChars="0"/>
              <w:jc w:val="center"/>
              <w:rPr>
                <w:rFonts w:ascii="Times New Roman"/>
                <w:kern w:val="2"/>
                <w:szCs w:val="18"/>
              </w:rPr>
            </w:pPr>
            <w:r>
              <w:rPr>
                <w:rFonts w:ascii="Times New Roman"/>
                <w:kern w:val="2"/>
                <w:szCs w:val="18"/>
              </w:rPr>
              <w:t>≤10</w:t>
            </w:r>
          </w:p>
        </w:tc>
        <w:tc>
          <w:tcPr>
            <w:tcW w:w="1481" w:type="pct"/>
            <w:tcBorders>
              <w:top w:val="single" w:color="000000" w:sz="4" w:space="0"/>
              <w:left w:val="single" w:color="000000" w:sz="4" w:space="0"/>
              <w:bottom w:val="single" w:color="000000" w:sz="4" w:space="0"/>
              <w:right w:val="single" w:color="000000" w:sz="4" w:space="0"/>
            </w:tcBorders>
          </w:tcPr>
          <w:p>
            <w:pPr>
              <w:pStyle w:val="91"/>
              <w:adjustRightInd w:val="0"/>
              <w:snapToGrid w:val="0"/>
              <w:spacing w:line="276" w:lineRule="auto"/>
              <w:ind w:firstLine="0" w:firstLineChars="0"/>
              <w:jc w:val="center"/>
              <w:rPr>
                <w:rFonts w:ascii="Times New Roman"/>
                <w:kern w:val="2"/>
                <w:szCs w:val="18"/>
              </w:rPr>
            </w:pPr>
            <w:r>
              <w:rPr>
                <w:rFonts w:ascii="Times New Roman"/>
                <w:kern w:val="2"/>
                <w:szCs w:val="18"/>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038"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spacing w:line="276" w:lineRule="auto"/>
              <w:ind w:firstLine="0" w:firstLineChars="0"/>
              <w:jc w:val="center"/>
              <w:rPr>
                <w:rFonts w:ascii="Times New Roman"/>
                <w:kern w:val="2"/>
                <w:szCs w:val="18"/>
              </w:rPr>
            </w:pPr>
            <w:r>
              <w:rPr>
                <w:rFonts w:ascii="Times New Roman"/>
                <w:kern w:val="2"/>
                <w:szCs w:val="18"/>
              </w:rPr>
              <w:t>表面水力负荷（g/m</w:t>
            </w:r>
            <w:r>
              <w:rPr>
                <w:rFonts w:ascii="Times New Roman"/>
                <w:kern w:val="2"/>
                <w:szCs w:val="18"/>
                <w:vertAlign w:val="superscript"/>
              </w:rPr>
              <w:t>2</w:t>
            </w:r>
            <w:r>
              <w:rPr>
                <w:rFonts w:ascii="Times New Roman"/>
                <w:kern w:val="2"/>
                <w:szCs w:val="18"/>
              </w:rPr>
              <w:t>·d）</w:t>
            </w:r>
          </w:p>
        </w:tc>
        <w:tc>
          <w:tcPr>
            <w:tcW w:w="1481" w:type="pct"/>
            <w:tcBorders>
              <w:top w:val="single" w:color="000000" w:sz="4" w:space="0"/>
              <w:left w:val="single" w:color="000000" w:sz="4" w:space="0"/>
              <w:bottom w:val="single" w:color="000000" w:sz="4" w:space="0"/>
              <w:right w:val="single" w:color="000000" w:sz="4" w:space="0"/>
            </w:tcBorders>
            <w:vAlign w:val="center"/>
          </w:tcPr>
          <w:p>
            <w:pPr>
              <w:pStyle w:val="91"/>
              <w:adjustRightInd w:val="0"/>
              <w:snapToGrid w:val="0"/>
              <w:spacing w:line="276" w:lineRule="auto"/>
              <w:ind w:firstLine="0" w:firstLineChars="0"/>
              <w:jc w:val="center"/>
              <w:rPr>
                <w:rFonts w:ascii="Times New Roman"/>
                <w:kern w:val="2"/>
                <w:szCs w:val="18"/>
              </w:rPr>
            </w:pPr>
            <w:r>
              <w:rPr>
                <w:rFonts w:ascii="Times New Roman"/>
                <w:kern w:val="2"/>
                <w:szCs w:val="18"/>
              </w:rPr>
              <w:t>≤0.04</w:t>
            </w:r>
          </w:p>
        </w:tc>
        <w:tc>
          <w:tcPr>
            <w:tcW w:w="1481" w:type="pct"/>
            <w:tcBorders>
              <w:top w:val="single" w:color="000000" w:sz="4" w:space="0"/>
              <w:left w:val="single" w:color="000000" w:sz="4" w:space="0"/>
              <w:bottom w:val="single" w:color="000000" w:sz="4" w:space="0"/>
              <w:right w:val="single" w:color="000000" w:sz="4" w:space="0"/>
            </w:tcBorders>
          </w:tcPr>
          <w:p>
            <w:pPr>
              <w:pStyle w:val="91"/>
              <w:adjustRightInd w:val="0"/>
              <w:snapToGrid w:val="0"/>
              <w:spacing w:line="276" w:lineRule="auto"/>
              <w:ind w:firstLine="0" w:firstLineChars="0"/>
              <w:jc w:val="center"/>
              <w:rPr>
                <w:rFonts w:ascii="Times New Roman"/>
                <w:kern w:val="2"/>
                <w:szCs w:val="18"/>
              </w:rPr>
            </w:pPr>
            <w:r>
              <w:rPr>
                <w:rFonts w:ascii="Times New Roman"/>
                <w:kern w:val="2"/>
                <w:szCs w:val="18"/>
              </w:rPr>
              <w:t>≤0.08</w:t>
            </w:r>
          </w:p>
        </w:tc>
      </w:tr>
    </w:tbl>
    <w:p>
      <w:pPr>
        <w:ind w:firstLine="480"/>
        <w:rPr>
          <w:rFonts w:cs="Times New Roman"/>
        </w:rPr>
      </w:pPr>
      <w:r>
        <w:rPr>
          <w:rFonts w:cs="Times New Roman"/>
        </w:rPr>
        <w:t>②填料层设计</w:t>
      </w:r>
    </w:p>
    <w:p>
      <w:pPr>
        <w:ind w:firstLine="480"/>
        <w:rPr>
          <w:rFonts w:cs="Times New Roman"/>
        </w:rPr>
      </w:pPr>
      <w:r>
        <w:rPr>
          <w:rFonts w:cs="Times New Roman"/>
        </w:rPr>
        <w:t>孔隙过大不利于植物固定生长。若使用土壤为基质则孔隙过小，容易堵塞，导致坡面漫流。砾石、粗砂是目前应用最为普遍的湿地填料。强化去除磷、氨氮等功能可以考慮矿渣等特殊填料。填料粒径范围宜取1</w:t>
      </w:r>
      <w:r>
        <w:rPr>
          <w:rFonts w:cs="Times New Roman"/>
          <w:szCs w:val="24"/>
        </w:rPr>
        <w:t>～</w:t>
      </w:r>
      <w:r>
        <w:rPr>
          <w:rFonts w:cs="Times New Roman"/>
        </w:rPr>
        <w:t>10mm。对于起均匀布水作用的填料，粒径可以取10</w:t>
      </w:r>
      <w:r>
        <w:rPr>
          <w:rFonts w:cs="Times New Roman"/>
          <w:szCs w:val="24"/>
        </w:rPr>
        <w:t>～</w:t>
      </w:r>
      <w:r>
        <w:rPr>
          <w:rFonts w:cs="Times New Roman"/>
        </w:rPr>
        <w:t>35mm。</w:t>
      </w:r>
    </w:p>
    <w:p>
      <w:pPr>
        <w:ind w:firstLine="480"/>
        <w:rPr>
          <w:rFonts w:cs="Times New Roman"/>
        </w:rPr>
      </w:pPr>
      <w:r>
        <w:rPr>
          <w:rFonts w:cs="Times New Roman"/>
        </w:rPr>
        <w:t>潜流人工湿地基质孔隙率宜控制在35</w:t>
      </w:r>
      <w:r>
        <w:rPr>
          <w:rFonts w:cs="Times New Roman"/>
          <w:szCs w:val="24"/>
        </w:rPr>
        <w:t>～</w:t>
      </w:r>
      <w:r>
        <w:rPr>
          <w:rFonts w:cs="Times New Roman"/>
        </w:rPr>
        <w:t>40%。水平潜流型人工湿地和垂直流型人工湿地的滤料层厚度应根据湿地的运行方式和滤料层滤料的渗透系数确定，滤料层厚度宜为1.2</w:t>
      </w:r>
      <w:r>
        <w:rPr>
          <w:rFonts w:cs="Times New Roman"/>
          <w:szCs w:val="24"/>
        </w:rPr>
        <w:t>～</w:t>
      </w:r>
      <w:r>
        <w:rPr>
          <w:rFonts w:cs="Times New Roman"/>
        </w:rPr>
        <w:t>1.4m。垂直流型人工湿地填料层各层的填充厚度宜按表5-14进行设计。</w:t>
      </w:r>
    </w:p>
    <w:p>
      <w:pPr>
        <w:widowControl/>
        <w:spacing w:line="360" w:lineRule="auto"/>
        <w:ind w:firstLine="0" w:firstLineChars="0"/>
        <w:jc w:val="center"/>
        <w:rPr>
          <w:rFonts w:eastAsia="黑体" w:cs="Times New Roman"/>
          <w:sz w:val="21"/>
        </w:rPr>
      </w:pPr>
      <w:r>
        <w:rPr>
          <w:rFonts w:eastAsia="黑体" w:cs="Times New Roman"/>
          <w:sz w:val="21"/>
        </w:rPr>
        <w:t>表5-14  垂直流型人工湿地填料层从下而上结构分层级特点</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2240"/>
        <w:gridCol w:w="1729"/>
        <w:gridCol w:w="1895"/>
        <w:gridCol w:w="18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分层</w:t>
            </w:r>
          </w:p>
        </w:tc>
        <w:tc>
          <w:tcPr>
            <w:tcW w:w="2240"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功能</w:t>
            </w:r>
          </w:p>
        </w:tc>
        <w:tc>
          <w:tcPr>
            <w:tcW w:w="1729"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厚度/mm</w:t>
            </w:r>
          </w:p>
        </w:tc>
        <w:tc>
          <w:tcPr>
            <w:tcW w:w="1895"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材料</w:t>
            </w:r>
          </w:p>
        </w:tc>
        <w:tc>
          <w:tcPr>
            <w:tcW w:w="1812"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排水层</w:t>
            </w:r>
          </w:p>
        </w:tc>
        <w:tc>
          <w:tcPr>
            <w:tcW w:w="2240"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汇集排出已处理污水</w:t>
            </w:r>
          </w:p>
        </w:tc>
        <w:tc>
          <w:tcPr>
            <w:tcW w:w="1729"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200-350</w:t>
            </w:r>
          </w:p>
        </w:tc>
        <w:tc>
          <w:tcPr>
            <w:tcW w:w="1895"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粒径8-16mm砾石</w:t>
            </w:r>
          </w:p>
        </w:tc>
        <w:tc>
          <w:tcPr>
            <w:tcW w:w="1812"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需洗涤不应带泥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过渡层</w:t>
            </w:r>
          </w:p>
        </w:tc>
        <w:tc>
          <w:tcPr>
            <w:tcW w:w="2240"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防止上层砂砾堵塞下面排水层</w:t>
            </w:r>
          </w:p>
        </w:tc>
        <w:tc>
          <w:tcPr>
            <w:tcW w:w="1729"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100</w:t>
            </w:r>
          </w:p>
        </w:tc>
        <w:tc>
          <w:tcPr>
            <w:tcW w:w="1895"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粒径4-8mm砾石</w:t>
            </w:r>
          </w:p>
        </w:tc>
        <w:tc>
          <w:tcPr>
            <w:tcW w:w="1812"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需洗涤不应带泥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滤料层</w:t>
            </w:r>
          </w:p>
        </w:tc>
        <w:tc>
          <w:tcPr>
            <w:tcW w:w="2240"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核心处理区</w:t>
            </w:r>
          </w:p>
        </w:tc>
        <w:tc>
          <w:tcPr>
            <w:tcW w:w="1729"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1200-1400</w:t>
            </w:r>
          </w:p>
        </w:tc>
        <w:tc>
          <w:tcPr>
            <w:tcW w:w="1895"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特殊级配2-6mm无粗泥沙</w:t>
            </w:r>
          </w:p>
        </w:tc>
        <w:tc>
          <w:tcPr>
            <w:tcW w:w="1812"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符合级配曲线范围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覆盖层</w:t>
            </w:r>
          </w:p>
        </w:tc>
        <w:tc>
          <w:tcPr>
            <w:tcW w:w="2240"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防止砂层表面被冲蚀</w:t>
            </w:r>
          </w:p>
        </w:tc>
        <w:tc>
          <w:tcPr>
            <w:tcW w:w="1729"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50（污水喷流范围局部铺设）</w:t>
            </w:r>
          </w:p>
        </w:tc>
        <w:tc>
          <w:tcPr>
            <w:tcW w:w="1895"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粒径8-16mm砾石</w:t>
            </w:r>
          </w:p>
        </w:tc>
        <w:tc>
          <w:tcPr>
            <w:tcW w:w="1812" w:type="dxa"/>
            <w:tcBorders>
              <w:top w:val="single" w:color="auto" w:sz="4" w:space="0"/>
              <w:left w:val="single" w:color="auto" w:sz="4" w:space="0"/>
              <w:bottom w:val="single" w:color="auto" w:sz="4" w:space="0"/>
              <w:right w:val="single" w:color="auto" w:sz="4" w:space="0"/>
            </w:tcBorders>
            <w:vAlign w:val="center"/>
          </w:tcPr>
          <w:p>
            <w:pPr>
              <w:pStyle w:val="91"/>
              <w:adjustRightInd w:val="0"/>
              <w:snapToGrid w:val="0"/>
              <w:spacing w:line="276" w:lineRule="auto"/>
              <w:ind w:firstLine="0" w:firstLineChars="0"/>
              <w:jc w:val="center"/>
              <w:rPr>
                <w:rFonts w:ascii="Times New Roman" w:eastAsia="宋体" w:cs="Times New Roman"/>
                <w:kern w:val="2"/>
                <w:szCs w:val="18"/>
              </w:rPr>
            </w:pPr>
            <w:r>
              <w:rPr>
                <w:rFonts w:ascii="Times New Roman" w:eastAsia="宋体" w:cs="Times New Roman"/>
                <w:kern w:val="2"/>
                <w:szCs w:val="18"/>
              </w:rPr>
              <w:t>符合级配曲线范围</w:t>
            </w:r>
          </w:p>
        </w:tc>
      </w:tr>
    </w:tbl>
    <w:p>
      <w:pPr>
        <w:ind w:firstLine="480"/>
        <w:rPr>
          <w:rFonts w:cs="Times New Roman"/>
        </w:rPr>
      </w:pPr>
      <w:r>
        <w:rPr>
          <w:rFonts w:cs="Times New Roman"/>
        </w:rPr>
        <w:t>③集配水系统设计</w:t>
      </w:r>
    </w:p>
    <w:p>
      <w:pPr>
        <w:ind w:firstLine="480"/>
        <w:rPr>
          <w:rFonts w:cs="Times New Roman"/>
        </w:rPr>
      </w:pPr>
      <w:r>
        <w:rPr>
          <w:rFonts w:cs="Times New Roman"/>
        </w:rPr>
        <w:t>人工湿地的配水系统由配水井、配水槽、配水管网、布水管等组成。配水槽采用钢筋混凝土构造，其上设置溢流管和排空管，以便水位过高时有组织地回流到集水池中；配水管、布水管一般采用PVC-U管。为保证每支配水管进水流量的均匀性，宜在植物池前设置一级或二级配水槽，再通过配水管网到达布水管，布水管间距不超过2m，每支布水管长不超过6m。为了系统运行的稳定性，防止堵塞，调节配水量，每支配水管前装设阀门，布水管的直径为32～45m，在管道底部每隔0.4～0.7m设置5～7m的小洞。</w:t>
      </w:r>
    </w:p>
    <w:p>
      <w:pPr>
        <w:ind w:firstLine="480"/>
        <w:rPr>
          <w:rFonts w:cs="Times New Roman"/>
        </w:rPr>
      </w:pPr>
      <w:r>
        <w:rPr>
          <w:rFonts w:cs="Times New Roman"/>
        </w:rPr>
        <w:t>进出水系统的配置：湿地床进水系统的设计应尽量保证配水的均匀性般采用多孔管或三角堰等。多孔管可设于床面上或埋于床面以下，埋于床面下的缺点是配水调节较为困难。多孔管设于床面上方时，应比床面高出0.5m左右，以防床面淤泥和杂草积累而影响配水。同时应定期清理沉淀物和杂草等，保证系统配水的均匀性。系统的进水流量可通过控制阀门和闸板调节，过多的流量或紧急变化时应有溢流、分流措施。</w:t>
      </w:r>
    </w:p>
    <w:p>
      <w:pPr>
        <w:ind w:firstLine="480"/>
        <w:rPr>
          <w:rFonts w:cs="Times New Roman"/>
        </w:rPr>
      </w:pPr>
      <w:r>
        <w:rPr>
          <w:rFonts w:cs="Times New Roman"/>
        </w:rPr>
        <w:t>出水收集系统由集水池和集水管组成。集水管一般采用PVC-U管。湿地出水系统的设计可采用沟排、管排、并排等方式，合理的设计应考虑受纳水体的特点、湿地系统的布置及场地的原有条件。为有效地控制湿地水位，一般在填料层底部设穿孔集水管件，并设置旋转弯头和控制阀门，进、出水管的设置须考虑防冻措施，</w:t>
      </w:r>
      <w:r>
        <w:rPr>
          <w:rFonts w:cs="Times New Roman"/>
          <w:szCs w:val="24"/>
        </w:rPr>
        <w:t>并在系统的必要部位设置控制阀和放空阀。</w:t>
      </w:r>
    </w:p>
    <w:p>
      <w:pPr>
        <w:ind w:firstLine="480"/>
        <w:rPr>
          <w:rFonts w:cs="Times New Roman"/>
        </w:rPr>
      </w:pPr>
      <w:r>
        <w:rPr>
          <w:rFonts w:cs="Times New Roman"/>
        </w:rPr>
        <w:t>水位控制是影响人工湿地处理性能的重要因素，为使污水在床体内以推流式流动，需控制湿地水位，水平潜流人工湿地水位则一般保持在基质表面下方5～20cm，并根据待处理的污水水量等情况进行调节。</w:t>
      </w:r>
    </w:p>
    <w:p>
      <w:pPr>
        <w:ind w:firstLine="480"/>
        <w:rPr>
          <w:rFonts w:cs="Times New Roman"/>
          <w:szCs w:val="24"/>
        </w:rPr>
      </w:pPr>
      <w:r>
        <w:rPr>
          <w:rFonts w:cs="Times New Roman"/>
          <w:szCs w:val="24"/>
        </w:rPr>
        <w:t>④植物设计</w:t>
      </w:r>
    </w:p>
    <w:p>
      <w:pPr>
        <w:ind w:firstLine="480"/>
        <w:rPr>
          <w:rFonts w:cs="Times New Roman"/>
          <w:szCs w:val="24"/>
        </w:rPr>
      </w:pPr>
      <w:r>
        <w:rPr>
          <w:rFonts w:cs="Times New Roman"/>
          <w:szCs w:val="24"/>
        </w:rPr>
        <w:t>人工湿地植物的选择应符合下列要求：人工湿地宜选用多年生、供氧能力强、耐污能力强、根系发达、去污效好、具有抗冻及抗病虫害能力、有一定经济价值容易收割管理的本土植物；湿地植物应能忍受较大变化范围内的水位、含盐量、温度和pH值；成活率高，种苗易得，繁殖能力强；有一定的美化景观效果；应尽可能增加植物的多样性、提高对污水的处理性能、延长使用寿命，植物种类一般为3</w:t>
      </w:r>
      <w:r>
        <w:rPr>
          <w:rFonts w:cs="Times New Roman"/>
        </w:rPr>
        <w:t>～</w:t>
      </w:r>
      <w:r>
        <w:rPr>
          <w:rFonts w:cs="Times New Roman"/>
          <w:szCs w:val="24"/>
        </w:rPr>
        <w:t>7种，其中至少3种为优势物种；人工湿地水生植物以挺水植物为主。</w:t>
      </w:r>
      <w:r>
        <w:rPr>
          <w:rFonts w:cs="Times New Roman"/>
        </w:rPr>
        <w:t>人工湿地植物种类可以根据湿地类型，功能需求，结合景观效果进行选择。潜流人工湿地可选择芦苇、蒲草、荸荠、莲、水芹、水葱、茭白、香蒲、千屈菜、菖蒲、水麦冬、风车草、灯芯草等挺水植物。</w:t>
      </w:r>
    </w:p>
    <w:p>
      <w:pPr>
        <w:ind w:firstLine="480"/>
        <w:rPr>
          <w:rFonts w:cs="Times New Roman"/>
          <w:szCs w:val="24"/>
        </w:rPr>
      </w:pPr>
      <w:r>
        <w:rPr>
          <w:rFonts w:cs="Times New Roman"/>
          <w:szCs w:val="24"/>
        </w:rPr>
        <w:t>人工湿地植物的栽种移植包括根幼苗移植、种子繁殖、收割植物的移植以及盆栽移植等，不宜选用苗龄过小的植株。植物宜在每年春季种植。植物种植初期的适宜密度可根据植物种类与工程要求进行调整，挺水植物种植密度宜为9</w:t>
      </w:r>
      <w:r>
        <w:rPr>
          <w:rFonts w:cs="Times New Roman"/>
        </w:rPr>
        <w:t>～</w:t>
      </w:r>
      <w:r>
        <w:rPr>
          <w:rFonts w:cs="Times New Roman"/>
          <w:szCs w:val="24"/>
        </w:rPr>
        <w:t>25株/m</w:t>
      </w:r>
      <w:r>
        <w:rPr>
          <w:rFonts w:cs="Times New Roman"/>
          <w:szCs w:val="24"/>
          <w:vertAlign w:val="superscript"/>
        </w:rPr>
        <w:t>2</w:t>
      </w:r>
      <w:r>
        <w:rPr>
          <w:rFonts w:cs="Times New Roman"/>
          <w:szCs w:val="24"/>
        </w:rPr>
        <w:t>。</w:t>
      </w:r>
    </w:p>
    <w:p>
      <w:pPr>
        <w:ind w:firstLine="480"/>
        <w:rPr>
          <w:rFonts w:cs="Times New Roman"/>
          <w:szCs w:val="24"/>
        </w:rPr>
      </w:pPr>
      <w:r>
        <w:rPr>
          <w:rFonts w:cs="Times New Roman"/>
          <w:szCs w:val="24"/>
        </w:rPr>
        <w:t>垂直潜流人工湿地的植物宜种植在渗透系数比较高的基质上。植物种植的质地应为松软黏土-壤土，土壤厚度宜为20</w:t>
      </w:r>
      <w:r>
        <w:rPr>
          <w:rFonts w:cs="Times New Roman"/>
        </w:rPr>
        <w:t>～</w:t>
      </w:r>
      <w:r>
        <w:rPr>
          <w:rFonts w:cs="Times New Roman"/>
          <w:szCs w:val="24"/>
        </w:rPr>
        <w:t>40cm，渗透系数宜为0.006</w:t>
      </w:r>
      <w:r>
        <w:rPr>
          <w:rFonts w:cs="Times New Roman"/>
        </w:rPr>
        <w:t>～</w:t>
      </w:r>
      <w:r>
        <w:rPr>
          <w:rFonts w:cs="Times New Roman"/>
          <w:szCs w:val="24"/>
        </w:rPr>
        <w:t>0.084cm/d。应优先选用当地的表层土种植，如当地原土不适宜人工湿地植物生长时，则需进行置换。植物种植时，应搭建操作架或铺设踏板，严禁直接踩踏人工湿地。植物种植时，应保持基质湿润，基质表面不得有流动水体；植物生长初期，应保持池内一定水深，逐渐增大污水负荷使其驯化。</w:t>
      </w:r>
    </w:p>
    <w:p>
      <w:pPr>
        <w:ind w:firstLine="480"/>
        <w:rPr>
          <w:rFonts w:cs="Times New Roman"/>
          <w:szCs w:val="24"/>
        </w:rPr>
      </w:pPr>
      <w:r>
        <w:rPr>
          <w:rFonts w:cs="Times New Roman"/>
          <w:szCs w:val="24"/>
        </w:rPr>
        <w:t>⑤防渗设计</w:t>
      </w:r>
    </w:p>
    <w:p>
      <w:pPr>
        <w:ind w:firstLine="480"/>
        <w:rPr>
          <w:rFonts w:cs="Times New Roman"/>
          <w:szCs w:val="24"/>
        </w:rPr>
      </w:pPr>
      <w:r>
        <w:rPr>
          <w:rFonts w:cs="Times New Roman"/>
          <w:szCs w:val="24"/>
        </w:rPr>
        <w:t>人工湿地的防渗设计应符合下列要求：</w:t>
      </w:r>
    </w:p>
    <w:p>
      <w:pPr>
        <w:ind w:firstLine="436" w:firstLineChars="182"/>
        <w:rPr>
          <w:rFonts w:cs="Times New Roman"/>
          <w:szCs w:val="24"/>
        </w:rPr>
      </w:pPr>
      <w:r>
        <w:rPr>
          <w:rFonts w:cs="Times New Roman"/>
          <w:szCs w:val="24"/>
        </w:rPr>
        <w:t>地下水位较低，人工湿地建设时，采用素土夯实等基本防渗措施，防止地下水污染。地下水位较高，人工湿地建设时，应在底部和侧面进行防渗处理，底部不得低于最高地下水位。当原有土层渗透系数大于10</w:t>
      </w:r>
      <w:r>
        <w:rPr>
          <w:rFonts w:cs="Times New Roman"/>
          <w:szCs w:val="24"/>
          <w:vertAlign w:val="superscript"/>
        </w:rPr>
        <w:t>-8</w:t>
      </w:r>
      <w:r>
        <w:rPr>
          <w:rFonts w:cs="Times New Roman"/>
          <w:szCs w:val="24"/>
        </w:rPr>
        <w:t>m/s时，应构建防渗层，敷设或者加入一些防渗材料以降低原有土层的渗透性，防渗层可采用黏土层、聚乙烯薄膜及其他建筑工程防水材料。</w:t>
      </w:r>
    </w:p>
    <w:p>
      <w:pPr>
        <w:ind w:firstLine="480"/>
        <w:rPr>
          <w:rFonts w:cs="Times New Roman"/>
          <w:szCs w:val="24"/>
        </w:rPr>
      </w:pPr>
      <w:r>
        <w:rPr>
          <w:rFonts w:cs="Times New Roman"/>
          <w:szCs w:val="24"/>
        </w:rPr>
        <w:t>选择防渗层的材料应符合下列要求：</w:t>
      </w:r>
    </w:p>
    <w:p>
      <w:pPr>
        <w:ind w:firstLine="480"/>
        <w:rPr>
          <w:rFonts w:cs="Times New Roman"/>
          <w:szCs w:val="24"/>
        </w:rPr>
      </w:pPr>
      <w:r>
        <w:rPr>
          <w:rFonts w:cs="Times New Roman"/>
          <w:szCs w:val="24"/>
        </w:rPr>
        <w:t>塑料薄膜：薄膜厚度宜大于1.0m，两边衬垫土工布，以降低植物根系和紫外线对薄膜的影响，宜优选PE薄膜，敷设时应按有关规定进行；</w:t>
      </w:r>
    </w:p>
    <w:p>
      <w:pPr>
        <w:ind w:firstLine="480"/>
        <w:rPr>
          <w:rFonts w:cs="Times New Roman"/>
          <w:szCs w:val="24"/>
        </w:rPr>
      </w:pPr>
      <w:r>
        <w:rPr>
          <w:rFonts w:cs="Times New Roman"/>
          <w:szCs w:val="24"/>
        </w:rPr>
        <w:t>水泥或合成材料隔板：应按建筑施工要求进行建造；</w:t>
      </w:r>
    </w:p>
    <w:p>
      <w:pPr>
        <w:ind w:firstLine="480"/>
        <w:rPr>
          <w:rFonts w:cs="Times New Roman"/>
          <w:szCs w:val="24"/>
        </w:rPr>
      </w:pPr>
      <w:r>
        <w:rPr>
          <w:rFonts w:cs="Times New Roman"/>
          <w:szCs w:val="24"/>
        </w:rPr>
        <w:t>黏土：如原有土壤含砂量较高、黏土含量较低、透水性好，应敷设2层黏土防渗层，每层厚度宜为30cm；如原有土壤含砂量较低、黏土含量较高、透水性较差，可敷设一层黏土防渗层，厚度宜大于30cm。亦可将黏土与膨润土相混合制成混合材料，敷设60cm厚的防渗层，以改善原有土层的防渗能力。</w:t>
      </w:r>
    </w:p>
    <w:p>
      <w:pPr>
        <w:ind w:firstLine="480"/>
        <w:rPr>
          <w:rFonts w:cs="Times New Roman"/>
          <w:szCs w:val="24"/>
        </w:rPr>
      </w:pPr>
      <w:r>
        <w:rPr>
          <w:rFonts w:cs="Times New Roman"/>
          <w:szCs w:val="24"/>
        </w:rPr>
        <w:t>对于渗透系数小于10</w:t>
      </w:r>
      <w:r>
        <w:rPr>
          <w:rFonts w:cs="Times New Roman"/>
          <w:szCs w:val="24"/>
          <w:vertAlign w:val="superscript"/>
        </w:rPr>
        <w:t>-7</w:t>
      </w:r>
      <w:r>
        <w:rPr>
          <w:rFonts w:cs="Times New Roman"/>
          <w:szCs w:val="24"/>
        </w:rPr>
        <w:t>m/s且厚度大于60cm的土壤，可直接作为人工湿地的防渗层，不需采用其他措施进行防渗处理。工程建设中，应对湿地底部和边坡60cm厚度的土壤进行渗透性测定。</w:t>
      </w:r>
    </w:p>
    <w:p>
      <w:pPr>
        <w:pStyle w:val="64"/>
        <w:ind w:firstLine="360"/>
        <w:rPr>
          <w:rFonts w:eastAsia="宋体" w:cs="Times New Roman"/>
        </w:rPr>
      </w:pPr>
      <w:r>
        <w:rPr>
          <w:rFonts w:cs="Times New Roman"/>
        </w:rPr>
        <w:drawing>
          <wp:inline distT="0" distB="0" distL="0" distR="0">
            <wp:extent cx="4427220" cy="1931670"/>
            <wp:effectExtent l="0" t="0" r="11430" b="11430"/>
            <wp:docPr id="354" name="图片 354" descr="说明: F:\娘子关\调整\图\潜流湿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descr="说明: F:\娘子关\调整\图\潜流湿地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4427220" cy="1931670"/>
                    </a:xfrm>
                    <a:prstGeom prst="rect">
                      <a:avLst/>
                    </a:prstGeom>
                    <a:noFill/>
                    <a:ln>
                      <a:noFill/>
                    </a:ln>
                  </pic:spPr>
                </pic:pic>
              </a:graphicData>
            </a:graphic>
          </wp:inline>
        </w:drawing>
      </w:r>
    </w:p>
    <w:p>
      <w:pPr>
        <w:pStyle w:val="16"/>
        <w:ind w:firstLine="0" w:firstLineChars="0"/>
        <w:rPr>
          <w:rFonts w:eastAsia="黑体" w:cs="Times New Roman"/>
          <w:b w:val="0"/>
          <w:bCs/>
        </w:rPr>
      </w:pPr>
      <w:r>
        <w:rPr>
          <w:rFonts w:eastAsia="黑体" w:cs="Times New Roman"/>
          <w:b w:val="0"/>
          <w:bCs/>
        </w:rPr>
        <w:t>图5-14  潜流湿地结构分层示意图</w:t>
      </w:r>
    </w:p>
    <w:p>
      <w:pPr>
        <w:ind w:firstLine="480"/>
        <w:rPr>
          <w:rFonts w:cs="Times New Roman"/>
          <w:szCs w:val="24"/>
        </w:rPr>
      </w:pPr>
      <w:r>
        <w:rPr>
          <w:rFonts w:cs="Times New Roman"/>
          <w:szCs w:val="24"/>
        </w:rPr>
        <w:t>（2）土地处理</w:t>
      </w:r>
    </w:p>
    <w:p>
      <w:pPr>
        <w:ind w:firstLine="480"/>
        <w:rPr>
          <w:rFonts w:cs="Times New Roman"/>
          <w:szCs w:val="24"/>
        </w:rPr>
      </w:pPr>
      <w:r>
        <w:rPr>
          <w:rFonts w:cs="Times New Roman"/>
          <w:szCs w:val="24"/>
        </w:rPr>
        <w:t>适用范围：适用于平原、丘陵地区的居住相对集中农村，有可供利用的渗透性能良好的砂土、沙质土壤或河滩等场地条件。</w:t>
      </w:r>
    </w:p>
    <w:p>
      <w:pPr>
        <w:pStyle w:val="64"/>
        <w:ind w:firstLine="360"/>
        <w:rPr>
          <w:rFonts w:eastAsia="宋体" w:cs="Times New Roman"/>
          <w:sz w:val="24"/>
        </w:rPr>
      </w:pPr>
      <w:r>
        <w:rPr>
          <w:rFonts w:cs="Times New Roman"/>
        </w:rPr>
        <w:drawing>
          <wp:inline distT="0" distB="0" distL="0" distR="0">
            <wp:extent cx="5486400" cy="461010"/>
            <wp:effectExtent l="0" t="0" r="0" b="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5486400" cy="461010"/>
                    </a:xfrm>
                    <a:prstGeom prst="rect">
                      <a:avLst/>
                    </a:prstGeom>
                    <a:noFill/>
                    <a:ln>
                      <a:noFill/>
                    </a:ln>
                  </pic:spPr>
                </pic:pic>
              </a:graphicData>
            </a:graphic>
          </wp:inline>
        </w:drawing>
      </w:r>
    </w:p>
    <w:p>
      <w:pPr>
        <w:pStyle w:val="16"/>
        <w:ind w:firstLine="0" w:firstLineChars="0"/>
        <w:rPr>
          <w:rFonts w:eastAsia="黑体" w:cs="Times New Roman"/>
          <w:b w:val="0"/>
          <w:bCs/>
        </w:rPr>
      </w:pPr>
      <w:r>
        <w:rPr>
          <w:rFonts w:eastAsia="黑体" w:cs="Times New Roman"/>
          <w:b w:val="0"/>
          <w:bCs/>
        </w:rPr>
        <w:t>图5-15  土地处理工艺流程图</w:t>
      </w:r>
    </w:p>
    <w:p>
      <w:pPr>
        <w:ind w:firstLine="480"/>
        <w:rPr>
          <w:rFonts w:cs="Times New Roman"/>
          <w:szCs w:val="24"/>
        </w:rPr>
      </w:pPr>
      <w:r>
        <w:rPr>
          <w:rFonts w:cs="Times New Roman"/>
          <w:szCs w:val="24"/>
        </w:rPr>
        <w:t>工艺流程各个处理单元说明：</w:t>
      </w:r>
    </w:p>
    <w:p>
      <w:pPr>
        <w:ind w:firstLine="480"/>
        <w:rPr>
          <w:rFonts w:cs="Times New Roman"/>
          <w:szCs w:val="24"/>
        </w:rPr>
      </w:pPr>
      <w:r>
        <w:rPr>
          <w:rFonts w:cs="Times New Roman"/>
          <w:szCs w:val="24"/>
        </w:rPr>
        <w:t>①格栅</w:t>
      </w:r>
    </w:p>
    <w:p>
      <w:pPr>
        <w:ind w:firstLine="480"/>
        <w:rPr>
          <w:rFonts w:cs="Times New Roman"/>
          <w:szCs w:val="24"/>
        </w:rPr>
      </w:pPr>
      <w:r>
        <w:rPr>
          <w:rFonts w:cs="Times New Roman"/>
          <w:szCs w:val="24"/>
        </w:rPr>
        <w:t>设置细格栅一道，以去除污水中的软性纤维物及大颗粒杂质，以防堵塞水泵、阀门、管道，确保处理设备的正常运行。</w:t>
      </w:r>
    </w:p>
    <w:p>
      <w:pPr>
        <w:ind w:firstLine="480"/>
        <w:rPr>
          <w:rFonts w:cs="Times New Roman"/>
          <w:szCs w:val="24"/>
        </w:rPr>
      </w:pPr>
      <w:r>
        <w:rPr>
          <w:rFonts w:cs="Times New Roman"/>
          <w:szCs w:val="24"/>
        </w:rPr>
        <w:t>②调节沉淀池</w:t>
      </w:r>
    </w:p>
    <w:p>
      <w:pPr>
        <w:ind w:firstLine="480"/>
        <w:rPr>
          <w:rFonts w:cs="Times New Roman"/>
          <w:szCs w:val="24"/>
        </w:rPr>
      </w:pPr>
      <w:r>
        <w:rPr>
          <w:rFonts w:cs="Times New Roman"/>
          <w:szCs w:val="24"/>
        </w:rPr>
        <w:t>用于调节污水的水量和水质，确保后续处理系统的稳定运行。</w:t>
      </w:r>
    </w:p>
    <w:p>
      <w:pPr>
        <w:ind w:firstLine="480"/>
        <w:rPr>
          <w:rFonts w:cs="Times New Roman"/>
          <w:szCs w:val="24"/>
        </w:rPr>
      </w:pPr>
      <w:r>
        <w:rPr>
          <w:rFonts w:cs="Times New Roman"/>
          <w:szCs w:val="24"/>
        </w:rPr>
        <w:t>③地下渗滤</w:t>
      </w:r>
    </w:p>
    <w:p>
      <w:pPr>
        <w:ind w:firstLine="480"/>
        <w:rPr>
          <w:rFonts w:cs="Times New Roman"/>
          <w:szCs w:val="24"/>
        </w:rPr>
      </w:pPr>
      <w:r>
        <w:rPr>
          <w:rFonts w:cs="Times New Roman"/>
          <w:szCs w:val="24"/>
        </w:rPr>
        <w:t>土地处理是利用土壤渗滤和土壤表面植物根系的综合作用实现对污水的处理。土地处理根据污水的投配方式及处理过程的不同，可以分为慢速渗滤、快速渗滤、地表漫流和地下渗滤四种类型。地下渗滤是将污水投配到距地表一定距离、有良好渗透性的土层中，利用土毛细管浸润和渗透作用，使污水向四周扩散，最突出的优点是所有处理装置均位于地下，不影响地表景观，对周围环境的不良影响小，且更适宜农村生活污水治理。</w:t>
      </w:r>
    </w:p>
    <w:p>
      <w:pPr>
        <w:ind w:firstLine="480"/>
        <w:rPr>
          <w:rFonts w:cs="Times New Roman"/>
          <w:szCs w:val="24"/>
        </w:rPr>
      </w:pPr>
      <w:r>
        <w:rPr>
          <w:rFonts w:cs="Times New Roman"/>
          <w:szCs w:val="24"/>
        </w:rPr>
        <w:t>④回用水池</w:t>
      </w:r>
    </w:p>
    <w:p>
      <w:pPr>
        <w:ind w:firstLine="480"/>
        <w:rPr>
          <w:rFonts w:cs="Times New Roman"/>
          <w:szCs w:val="24"/>
        </w:rPr>
      </w:pPr>
      <w:r>
        <w:rPr>
          <w:rFonts w:cs="Times New Roman"/>
          <w:szCs w:val="24"/>
        </w:rPr>
        <w:t>地下渗滤工艺出水流入回用水池（清水收集池或紫外消毒渠），回用水池出水可就地自流入农灌水渠，或加压进入农业灌溉系统。</w:t>
      </w:r>
    </w:p>
    <w:p>
      <w:pPr>
        <w:ind w:firstLine="480"/>
        <w:rPr>
          <w:rFonts w:cs="Times New Roman"/>
        </w:rPr>
      </w:pPr>
      <w:r>
        <w:rPr>
          <w:rFonts w:cs="Times New Roman"/>
          <w:szCs w:val="24"/>
        </w:rPr>
        <w:t>地下渗滤</w:t>
      </w:r>
      <w:r>
        <w:rPr>
          <w:rFonts w:cs="Times New Roman"/>
        </w:rPr>
        <w:t>工艺设计应着重考虑以下内容：</w:t>
      </w:r>
    </w:p>
    <w:p>
      <w:pPr>
        <w:ind w:firstLine="480"/>
        <w:rPr>
          <w:rFonts w:cs="Times New Roman"/>
          <w:szCs w:val="24"/>
        </w:rPr>
      </w:pPr>
      <w:r>
        <w:rPr>
          <w:rFonts w:cs="Times New Roman"/>
          <w:szCs w:val="24"/>
        </w:rPr>
        <w:t>①场地选择</w:t>
      </w:r>
    </w:p>
    <w:p>
      <w:pPr>
        <w:ind w:firstLine="480"/>
        <w:rPr>
          <w:rFonts w:cs="Times New Roman"/>
          <w:szCs w:val="24"/>
        </w:rPr>
      </w:pPr>
      <w:r>
        <w:rPr>
          <w:rFonts w:cs="Times New Roman"/>
          <w:szCs w:val="24"/>
        </w:rPr>
        <w:t>土壤渗滤系统对场地的土壤条件有一定要求，土壤类型最好是壤土、砂壤土等；土层厚度在0.6m以上；地面坡度&lt;15%；土壤渗透率0.15～5.0cm/h；地下水埋深&gt;1m。</w:t>
      </w:r>
    </w:p>
    <w:p>
      <w:pPr>
        <w:ind w:firstLine="480"/>
        <w:rPr>
          <w:rFonts w:cs="Times New Roman"/>
          <w:szCs w:val="24"/>
        </w:rPr>
      </w:pPr>
      <w:r>
        <w:rPr>
          <w:rFonts w:cs="Times New Roman"/>
          <w:szCs w:val="24"/>
        </w:rPr>
        <w:t>若土壤类型不符合要求，需对土壤进行改良以满足渗滤要求。在回填土前应按设计在池底先铺15cm的砂石层，以粗砂为主（可混入少量绿豆大的碎石），以防止土壤颗粒进入排水管道。</w:t>
      </w:r>
    </w:p>
    <w:p>
      <w:pPr>
        <w:ind w:firstLine="480"/>
        <w:rPr>
          <w:rFonts w:cs="Times New Roman"/>
          <w:szCs w:val="24"/>
        </w:rPr>
      </w:pPr>
      <w:r>
        <w:rPr>
          <w:rFonts w:cs="Times New Roman"/>
          <w:szCs w:val="24"/>
        </w:rPr>
        <w:t>土壤填料待回填土装完后，对整个池子要灌清水（淹水层厚度15cm左右），让土层在重力作用下自然落实，此操作进行2～3次，以防止土层未经压实而在土层中形成局部的短路影响其处理效果。同时，这种方法也可检验分层回填土、压实等工序的施工质量，水压实要求池内土层回落厚度与设计高程相比较，其正负误差不能大于3</w:t>
      </w:r>
      <w:r>
        <w:rPr>
          <w:rFonts w:cs="Times New Roman"/>
        </w:rPr>
        <w:t>～</w:t>
      </w:r>
      <w:r>
        <w:rPr>
          <w:rFonts w:cs="Times New Roman"/>
          <w:szCs w:val="24"/>
        </w:rPr>
        <w:t>5cm。</w:t>
      </w:r>
    </w:p>
    <w:p>
      <w:pPr>
        <w:ind w:firstLine="480"/>
        <w:rPr>
          <w:rFonts w:cs="Times New Roman"/>
          <w:szCs w:val="24"/>
        </w:rPr>
      </w:pPr>
      <w:r>
        <w:rPr>
          <w:rFonts w:cs="Times New Roman"/>
          <w:szCs w:val="24"/>
        </w:rPr>
        <w:t>②水力负荷周期</w:t>
      </w:r>
    </w:p>
    <w:p>
      <w:pPr>
        <w:ind w:firstLine="480"/>
        <w:rPr>
          <w:rFonts w:cs="Times New Roman"/>
          <w:szCs w:val="24"/>
        </w:rPr>
      </w:pPr>
      <w:r>
        <w:rPr>
          <w:rFonts w:cs="Times New Roman"/>
          <w:szCs w:val="24"/>
        </w:rPr>
        <w:t>为提高系统对污水的处理效率，长期保持预期的出水水质和最大渗透速率，采用投配淹水与停水落干交替运行的方式。每完成一个投配与落干循环的时间为水力负荷周期。水力负荷周期的确定需选用适宜的湿干比，即滤床投配淹水的时间和停水落干的时间比，以恢复和维持滤床的水力传导能力。有机物的生物降解能力和脱氮能力，落干期间土壤重新复氧，氧化分解被阻滞的固体有机物，连续配水时间8～12h，湿干比0.2～0.125，运和行周期2～4.5d为最适运行方案。</w:t>
      </w:r>
    </w:p>
    <w:p>
      <w:pPr>
        <w:ind w:firstLine="480"/>
        <w:rPr>
          <w:rFonts w:cs="Times New Roman"/>
          <w:szCs w:val="24"/>
        </w:rPr>
      </w:pPr>
      <w:r>
        <w:rPr>
          <w:rFonts w:cs="Times New Roman"/>
          <w:szCs w:val="24"/>
        </w:rPr>
        <w:t>③配、集水系统设计</w:t>
      </w:r>
    </w:p>
    <w:p>
      <w:pPr>
        <w:ind w:firstLine="480"/>
        <w:rPr>
          <w:rFonts w:cs="Times New Roman"/>
          <w:szCs w:val="24"/>
        </w:rPr>
      </w:pPr>
      <w:r>
        <w:rPr>
          <w:rFonts w:cs="Times New Roman"/>
          <w:szCs w:val="24"/>
        </w:rPr>
        <w:t>土壤渗滤池的进水采用自动液位浮球控制进水。为了使污水能够均匀分布，地下渗滤池的进水系统管道宜布置在地表以下0.2～0.4m，每根配水管道不宜长于6m，配水管道间距应在1.5～2.0m。配水管道应用尼龙网包裹，周围采用厚度为100～200mm、直径为20～30m的砾石形成保护层覆盖，并在下方用不透水的土工布将配水管道与土壤分隔，形成以配水管道为中心向两侧均匀布水，由毛细作用向上层土壤布水。</w:t>
      </w:r>
    </w:p>
    <w:p>
      <w:pPr>
        <w:ind w:firstLine="480"/>
        <w:rPr>
          <w:rFonts w:cs="Times New Roman"/>
          <w:szCs w:val="24"/>
        </w:rPr>
      </w:pPr>
      <w:r>
        <w:rPr>
          <w:rFonts w:cs="Times New Roman"/>
          <w:szCs w:val="24"/>
        </w:rPr>
        <w:t>经过渗滤处理的出水从池底排出，为使排水顺畅，池底可修成3%的坡底。集水管分布于渗滤池底部，集水管道应用尼龙网包裹，周围采用厚度为100-200m、直径为20～30m的砾石形成保护层覆盖，均匀收集滤层的处理水。</w:t>
      </w:r>
    </w:p>
    <w:p>
      <w:pPr>
        <w:ind w:firstLine="480"/>
        <w:rPr>
          <w:rFonts w:cs="Times New Roman"/>
          <w:szCs w:val="24"/>
        </w:rPr>
      </w:pPr>
      <w:r>
        <w:rPr>
          <w:rFonts w:cs="Times New Roman"/>
          <w:szCs w:val="24"/>
        </w:rPr>
        <w:t>④填料层设计</w:t>
      </w:r>
    </w:p>
    <w:p>
      <w:pPr>
        <w:ind w:firstLine="480"/>
        <w:rPr>
          <w:rFonts w:cs="Times New Roman"/>
          <w:szCs w:val="24"/>
        </w:rPr>
      </w:pPr>
      <w:r>
        <w:rPr>
          <w:rFonts w:cs="Times New Roman"/>
          <w:szCs w:val="24"/>
        </w:rPr>
        <w:t>对于土壤渗滤系统，土壤条件不适合时，可以采取措施对士壤渗透系数进行调整。</w:t>
      </w:r>
    </w:p>
    <w:p>
      <w:pPr>
        <w:ind w:firstLine="480"/>
        <w:rPr>
          <w:rFonts w:cs="Times New Roman"/>
          <w:szCs w:val="24"/>
        </w:rPr>
      </w:pPr>
      <w:r>
        <w:rPr>
          <w:rFonts w:cs="Times New Roman"/>
          <w:szCs w:val="24"/>
        </w:rPr>
        <w:t>基质材料选择：各种粒径级别的土壤颗粒按照一定的重量百分比率进行机械组合。向土壤中适当添加介质材料，主要有砂料、草炭等。土壤是生物活性的接种剂；砂是保证填料具有通透能力的基本骨架；草炭是启动和维持生物活性的能源和物源。当对土地渗滤系统有相应的脱氮除磷要求时，可向土壤中添加对氮磷有吸附性能的功能性材料。</w:t>
      </w:r>
    </w:p>
    <w:p>
      <w:pPr>
        <w:ind w:firstLine="480"/>
        <w:rPr>
          <w:rFonts w:cs="Times New Roman"/>
          <w:szCs w:val="24"/>
        </w:rPr>
      </w:pPr>
      <w:r>
        <w:rPr>
          <w:rFonts w:cs="Times New Roman"/>
          <w:szCs w:val="24"/>
        </w:rPr>
        <w:t>填料层结构和厚度设置：土壤渗滤系统的填料层主要由植物种植土层、人工土层、砂滤层组成，植物种植土层主要为地表植物提供沃土，为植物生长提供环境，植物根系吸收污水中的营养元素，同时为人工土层表层复氧。植物种植土层厚度常为30cm。</w:t>
      </w:r>
    </w:p>
    <w:p>
      <w:pPr>
        <w:ind w:firstLine="480"/>
        <w:rPr>
          <w:rFonts w:cs="Times New Roman"/>
          <w:szCs w:val="24"/>
        </w:rPr>
      </w:pPr>
      <w:r>
        <w:rPr>
          <w:rFonts w:cs="Times New Roman"/>
          <w:szCs w:val="24"/>
        </w:rPr>
        <w:t>人工土层是污水处理的核心区，根据处理要求选择单层填制或分层填制。人工土层厚度常为1.2～1.4m。砂滤层主要起过滤作用，厚度常为20cm。填料层根据处理污水特点、地下水水位地理地形条件选择填料层的总厚度。</w:t>
      </w:r>
    </w:p>
    <w:p>
      <w:pPr>
        <w:ind w:firstLine="480"/>
        <w:rPr>
          <w:rFonts w:cs="Times New Roman"/>
          <w:szCs w:val="24"/>
        </w:rPr>
      </w:pPr>
      <w:r>
        <w:rPr>
          <w:rFonts w:cs="Times New Roman"/>
          <w:szCs w:val="24"/>
        </w:rPr>
        <w:t>⑤植物设计</w:t>
      </w:r>
    </w:p>
    <w:p>
      <w:pPr>
        <w:ind w:firstLine="480"/>
        <w:rPr>
          <w:rFonts w:cs="Times New Roman"/>
          <w:szCs w:val="24"/>
        </w:rPr>
      </w:pPr>
      <w:r>
        <w:rPr>
          <w:rFonts w:cs="Times New Roman"/>
          <w:szCs w:val="24"/>
        </w:rPr>
        <w:t>土壤渗滤处理池上可种植适宜当地生产的耐水性作物、蔬菜砾石或绿化植物。</w:t>
      </w:r>
    </w:p>
    <w:p>
      <w:pPr>
        <w:ind w:firstLine="480"/>
        <w:rPr>
          <w:rFonts w:cs="Times New Roman"/>
          <w:szCs w:val="24"/>
        </w:rPr>
      </w:pPr>
      <w:r>
        <w:rPr>
          <w:rFonts w:cs="Times New Roman"/>
          <w:szCs w:val="24"/>
        </w:rPr>
        <w:t>⑥防渗设计</w:t>
      </w:r>
    </w:p>
    <w:p>
      <w:pPr>
        <w:ind w:firstLine="480"/>
        <w:rPr>
          <w:rFonts w:cs="Times New Roman"/>
          <w:szCs w:val="24"/>
        </w:rPr>
      </w:pPr>
      <w:r>
        <w:rPr>
          <w:rFonts w:cs="Times New Roman"/>
          <w:szCs w:val="24"/>
        </w:rPr>
        <w:t>为保护地下水不受污染和影响，土地渗滤系统必须设置防渗层。当地下水水位低于土地渗滤系统的最低点时，土地渗滤系统的底部和池壁可考虑采用难以压缩的密实土，系统内由于渗透所导致的水位降落不得大于2.5m/d。当地下水水位高于土地渗滤系统最低点或当地的密实土不能满足要求时，需另行采用衬底材料，包括沥青、混凝土、水泥或其他衬底。在实际工程中通常采用120m厚的C</w:t>
      </w:r>
      <w:r>
        <w:rPr>
          <w:rFonts w:cs="Times New Roman"/>
          <w:szCs w:val="24"/>
          <w:vertAlign w:val="subscript"/>
        </w:rPr>
        <w:t>23</w:t>
      </w:r>
      <w:r>
        <w:rPr>
          <w:rFonts w:cs="Times New Roman"/>
          <w:szCs w:val="24"/>
        </w:rPr>
        <w:t>素混凝土来进行防渗。</w:t>
      </w:r>
    </w:p>
    <w:p>
      <w:pPr>
        <w:pStyle w:val="9"/>
      </w:pPr>
      <w:r>
        <w:t>5.4.2.2 本次规划拟选工艺</w:t>
      </w:r>
    </w:p>
    <w:p>
      <w:pPr>
        <w:ind w:firstLine="480"/>
        <w:rPr>
          <w:rFonts w:cs="Times New Roman"/>
        </w:rPr>
      </w:pPr>
      <w:r>
        <w:rPr>
          <w:rFonts w:cs="Times New Roman"/>
        </w:rPr>
        <w:t>综合对比上述工艺，当处理设施的出水排入地表河流时，需执行DB 14/726-2019二级，控制项目包括pH、悬浮物、化学需氧量、氨氮、总磷、COD。由于生物接触氧化法和改良活性污法目前在农村生活污水处理中使用较多且处理后的出水稳定，且生物接触氧化法占地面积小，对农村水量波动的适应性强，改良活性污泥具有净化能力高、耐冲击负荷能力强、动力费用省的优点。考虑到河流水质的长远改善，从保护地表水环境方面考虑，建议出水排入河流的村庄选择“缺氧-好氧”处理，具体工艺流程为“格栅-调节沉淀-生物接触氧化/改良活性污泥-斜管沉淀”，设备可采用一体化装置。</w:t>
      </w:r>
    </w:p>
    <w:p>
      <w:pPr>
        <w:ind w:firstLine="480"/>
        <w:rPr>
          <w:rFonts w:cs="Times New Roman"/>
          <w:szCs w:val="24"/>
        </w:rPr>
      </w:pPr>
      <w:r>
        <w:rPr>
          <w:rFonts w:cs="Times New Roman"/>
          <w:szCs w:val="24"/>
        </w:rPr>
        <w:t>为确保应急维修，初沉池应设置超越排放管。经现场调研，桥头村沿河分布有饭店，其排水应先进行隔油处理。目前采用集中治理设施的村庄均为旱厕，不需建设化粪池。建议后续村庄的厕所改造以建设卫生厕所为主，不仅具有经济性、适应性、环保性，同时也可不需再增加化粪池设备。</w:t>
      </w:r>
    </w:p>
    <w:p>
      <w:pPr>
        <w:pStyle w:val="16"/>
        <w:ind w:firstLine="0" w:firstLineChars="0"/>
        <w:rPr>
          <w:rFonts w:eastAsia="黑体" w:cs="Times New Roman"/>
          <w:b w:val="0"/>
          <w:bCs/>
        </w:rPr>
      </w:pPr>
      <w:r>
        <w:rPr>
          <w:rFonts w:eastAsia="黑体" w:cs="Times New Roman"/>
          <w:b w:val="0"/>
          <w:bCs/>
        </w:rPr>
        <w:t>表5-15村庄集中污水处理工艺一览表</w:t>
      </w:r>
    </w:p>
    <w:tbl>
      <w:tblPr>
        <w:tblStyle w:val="29"/>
        <w:tblW w:w="521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5"/>
        <w:gridCol w:w="900"/>
        <w:gridCol w:w="1100"/>
        <w:gridCol w:w="2532"/>
        <w:gridCol w:w="1135"/>
        <w:gridCol w:w="28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511" w:type="pct"/>
            <w:shd w:val="clear" w:color="auto" w:fill="auto"/>
            <w:noWrap/>
            <w:vAlign w:val="center"/>
          </w:tcPr>
          <w:p>
            <w:pPr>
              <w:widowControl/>
              <w:spacing w:line="240" w:lineRule="auto"/>
              <w:ind w:firstLine="0" w:firstLineChars="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乡镇</w:t>
            </w:r>
          </w:p>
        </w:tc>
        <w:tc>
          <w:tcPr>
            <w:tcW w:w="476" w:type="pct"/>
            <w:shd w:val="clear" w:color="auto" w:fill="auto"/>
            <w:noWrap/>
            <w:vAlign w:val="center"/>
          </w:tcPr>
          <w:p>
            <w:pPr>
              <w:widowControl/>
              <w:spacing w:line="240" w:lineRule="auto"/>
              <w:ind w:firstLine="0" w:firstLineChars="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村庄</w:t>
            </w:r>
          </w:p>
        </w:tc>
        <w:tc>
          <w:tcPr>
            <w:tcW w:w="582" w:type="pct"/>
            <w:vAlign w:val="center"/>
          </w:tcPr>
          <w:p>
            <w:pPr>
              <w:widowControl/>
              <w:spacing w:line="240" w:lineRule="auto"/>
              <w:ind w:firstLine="0" w:firstLineChars="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出水去向</w:t>
            </w:r>
          </w:p>
        </w:tc>
        <w:tc>
          <w:tcPr>
            <w:tcW w:w="1340" w:type="pct"/>
            <w:vAlign w:val="center"/>
          </w:tcPr>
          <w:p>
            <w:pPr>
              <w:widowControl/>
              <w:spacing w:line="240" w:lineRule="auto"/>
              <w:ind w:firstLine="0" w:firstLineChars="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排放要求</w:t>
            </w:r>
          </w:p>
        </w:tc>
        <w:tc>
          <w:tcPr>
            <w:tcW w:w="601" w:type="pct"/>
            <w:vAlign w:val="center"/>
          </w:tcPr>
          <w:p>
            <w:pPr>
              <w:widowControl/>
              <w:spacing w:line="240" w:lineRule="auto"/>
              <w:ind w:firstLine="0" w:firstLineChars="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处理规模（m</w:t>
            </w:r>
            <w:r>
              <w:rPr>
                <w:rFonts w:hint="default" w:ascii="Times New Roman" w:hAnsi="Times New Roman" w:eastAsia="宋体" w:cs="Times New Roman"/>
                <w:kern w:val="0"/>
                <w:sz w:val="21"/>
                <w:szCs w:val="21"/>
                <w:vertAlign w:val="superscript"/>
              </w:rPr>
              <w:t>3</w:t>
            </w:r>
            <w:r>
              <w:rPr>
                <w:rFonts w:hint="default" w:ascii="Times New Roman" w:hAnsi="Times New Roman" w:eastAsia="宋体" w:cs="Times New Roman"/>
                <w:kern w:val="0"/>
                <w:sz w:val="21"/>
                <w:szCs w:val="21"/>
              </w:rPr>
              <w:t>/d）</w:t>
            </w:r>
          </w:p>
        </w:tc>
        <w:tc>
          <w:tcPr>
            <w:tcW w:w="1488" w:type="pct"/>
            <w:shd w:val="clear" w:color="auto" w:fill="auto"/>
            <w:noWrap/>
            <w:vAlign w:val="center"/>
          </w:tcPr>
          <w:p>
            <w:pPr>
              <w:widowControl/>
              <w:spacing w:line="240" w:lineRule="auto"/>
              <w:ind w:firstLine="0" w:firstLineChars="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处理工艺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511" w:type="pct"/>
            <w:shd w:val="clear" w:color="auto" w:fill="auto"/>
            <w:noWrap/>
            <w:vAlign w:val="center"/>
          </w:tcPr>
          <w:p>
            <w:pPr>
              <w:widowControl/>
              <w:spacing w:line="240" w:lineRule="auto"/>
              <w:ind w:firstLine="0" w:firstLineChars="0"/>
              <w:jc w:val="center"/>
              <w:rPr>
                <w:rFonts w:cs="Times New Roman"/>
                <w:sz w:val="21"/>
                <w:szCs w:val="21"/>
              </w:rPr>
            </w:pPr>
            <w:r>
              <w:rPr>
                <w:rFonts w:cs="Times New Roman"/>
                <w:sz w:val="21"/>
                <w:szCs w:val="21"/>
              </w:rPr>
              <w:t>杨家湾镇</w:t>
            </w:r>
          </w:p>
        </w:tc>
        <w:tc>
          <w:tcPr>
            <w:tcW w:w="476" w:type="pct"/>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花园村</w:t>
            </w:r>
          </w:p>
        </w:tc>
        <w:tc>
          <w:tcPr>
            <w:tcW w:w="582" w:type="pct"/>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黄河</w:t>
            </w:r>
          </w:p>
        </w:tc>
        <w:tc>
          <w:tcPr>
            <w:tcW w:w="1340" w:type="pct"/>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DB 14/726-2019二级标准</w:t>
            </w:r>
          </w:p>
        </w:tc>
        <w:tc>
          <w:tcPr>
            <w:tcW w:w="601" w:type="pct"/>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100</w:t>
            </w:r>
          </w:p>
        </w:tc>
        <w:tc>
          <w:tcPr>
            <w:tcW w:w="1488" w:type="pct"/>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生物接触氧化/改良活性污泥</w:t>
            </w:r>
          </w:p>
        </w:tc>
      </w:tr>
    </w:tbl>
    <w:p>
      <w:pPr>
        <w:ind w:firstLine="480"/>
        <w:rPr>
          <w:rFonts w:cs="Times New Roman"/>
        </w:rPr>
      </w:pPr>
    </w:p>
    <w:p>
      <w:pPr>
        <w:ind w:firstLine="480"/>
        <w:rPr>
          <w:rFonts w:cs="Times New Roman"/>
        </w:rPr>
      </w:pPr>
    </w:p>
    <w:p>
      <w:pPr>
        <w:ind w:firstLine="480"/>
        <w:rPr>
          <w:rFonts w:cs="Times New Roman"/>
        </w:rPr>
      </w:pPr>
    </w:p>
    <w:p>
      <w:pPr>
        <w:pStyle w:val="64"/>
        <w:rPr>
          <w:rFonts w:cs="Times New Roman"/>
        </w:rPr>
        <w:sectPr>
          <w:pgSz w:w="11906" w:h="16838"/>
          <w:pgMar w:top="1361" w:right="1531" w:bottom="1361" w:left="1531" w:header="851" w:footer="992" w:gutter="0"/>
          <w:cols w:space="425" w:num="1"/>
          <w:docGrid w:type="lines" w:linePitch="326" w:charSpace="0"/>
        </w:sectPr>
      </w:pPr>
    </w:p>
    <w:p>
      <w:pPr>
        <w:pStyle w:val="8"/>
        <w:rPr>
          <w:rFonts w:ascii="Times New Roman" w:hAnsi="Times New Roman" w:cs="Times New Roman"/>
        </w:rPr>
      </w:pPr>
      <w:r>
        <w:rPr>
          <w:rFonts w:ascii="Times New Roman" w:hAnsi="Times New Roman" w:cs="Times New Roman"/>
        </w:rPr>
        <w:t>5.4.3 分散处理工艺</w:t>
      </w:r>
    </w:p>
    <w:p>
      <w:pPr>
        <w:ind w:firstLine="480"/>
        <w:rPr>
          <w:rFonts w:cs="Times New Roman"/>
        </w:rPr>
      </w:pPr>
      <w:r>
        <w:rPr>
          <w:rFonts w:cs="Times New Roman"/>
        </w:rPr>
        <w:t>保德县农村多为旱厕，尤其是人口稀少地区，供水和排水设施均不完善，短期内亦不适宜建设水冲厕，旱厕粪便一般堆肥农用。</w:t>
      </w:r>
    </w:p>
    <w:p>
      <w:pPr>
        <w:ind w:firstLine="480"/>
        <w:rPr>
          <w:rFonts w:cs="Times New Roman"/>
        </w:rPr>
      </w:pPr>
      <w:r>
        <w:rPr>
          <w:rFonts w:cs="Times New Roman"/>
        </w:rPr>
        <w:t>对人口较少、污水产生量较少的村庄，可采用分散处理方式。分散处理污水的村庄，其污水处理一般采用就地生态处理技术，包括小型湿地和土地处理，利用碎石、砂砾等级配的填料水力负荷一般为10～30cm/d，人工湿地在填料上铺设植被，庭院和街道空巷可作为小型生态处理技术的场地，污水经过填料处理后排出，适用于布局分散、人口规模较小、地形条件复杂、经济条件一般、有一定闲置土地，周边无敏感接纳水体或环境保护区，污水不易集中收集的单户或相邻农户的生活污水处理。</w:t>
      </w:r>
    </w:p>
    <w:p>
      <w:pPr>
        <w:ind w:firstLine="480"/>
        <w:rPr>
          <w:rFonts w:cs="Times New Roman"/>
        </w:rPr>
      </w:pPr>
      <w:r>
        <w:rPr>
          <w:rFonts w:cs="Times New Roman"/>
        </w:rPr>
        <w:t>除生态处理技术外，普通生物滤池也可用于分散处理农村生活污水。普通生物滤池，将污水喷洒在由粒状介质堆积起来的滤料上，污水从上部喷淋下来，经过堆积的滤料层，滤料表面的生物膜将污水净化，供氧由自然通风完成的，氧气通过滤料的空隙，传递到流动水层、附着水层、好氧层。利用低负荷生物滤池，进行分散处理时，不需进行曝气，污水通过填料处理后排放。</w:t>
      </w:r>
    </w:p>
    <w:p>
      <w:pPr>
        <w:ind w:firstLine="480"/>
        <w:rPr>
          <w:rFonts w:cs="Times New Roman"/>
        </w:rPr>
      </w:pPr>
      <w:r>
        <w:rPr>
          <w:rFonts w:cs="Times New Roman"/>
        </w:rPr>
        <w:t>考虑到分散治理村庄面积较小、人口少，污水主要为洗涤、洗浴、厨房排水，污染物浓度较低，而且出水的水质要求也较低，综合考虑经济和技术因素，采用人工湿地和生物滤池作为污水处理工艺，具体工艺流程为“格网-人工湿地/生物滤池”。分散治理设施应建于常年有人居住的家户院子内，对于常年无人居住的家户，可暂不建设污水处理设施。（本规划中工艺计算以人工湿地为基准）</w:t>
      </w:r>
    </w:p>
    <w:p>
      <w:pPr>
        <w:pStyle w:val="64"/>
        <w:rPr>
          <w:rFonts w:cs="Times New Roman"/>
        </w:rPr>
      </w:pPr>
      <w:r>
        <w:rPr>
          <w:rFonts w:cs="Times New Roman"/>
        </w:rPr>
        <w:drawing>
          <wp:inline distT="0" distB="0" distL="0" distR="0">
            <wp:extent cx="3362325" cy="1763395"/>
            <wp:effectExtent l="0" t="0" r="0" b="8255"/>
            <wp:docPr id="16" name="图片 16" descr="E:\朔州平鲁区\图\图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E:\朔州平鲁区\图\图新\11.jpg"/>
                    <pic:cNvPicPr>
                      <a:picLocks noChangeAspect="1" noChangeArrowheads="1"/>
                    </pic:cNvPicPr>
                  </pic:nvPicPr>
                  <pic:blipFill>
                    <a:blip r:embed="rId84" cstate="print">
                      <a:extLst>
                        <a:ext uri="{28A0092B-C50C-407E-A947-70E740481C1C}">
                          <a14:useLocalDpi xmlns:a14="http://schemas.microsoft.com/office/drawing/2010/main" val="0"/>
                        </a:ext>
                      </a:extLst>
                    </a:blip>
                    <a:srcRect t="-11" r="5590" b="11"/>
                    <a:stretch>
                      <a:fillRect/>
                    </a:stretch>
                  </pic:blipFill>
                  <pic:spPr>
                    <a:xfrm>
                      <a:off x="0" y="0"/>
                      <a:ext cx="3362472" cy="1764000"/>
                    </a:xfrm>
                    <a:prstGeom prst="rect">
                      <a:avLst/>
                    </a:prstGeom>
                    <a:noFill/>
                    <a:ln>
                      <a:noFill/>
                    </a:ln>
                  </pic:spPr>
                </pic:pic>
              </a:graphicData>
            </a:graphic>
          </wp:inline>
        </w:drawing>
      </w:r>
    </w:p>
    <w:p>
      <w:pPr>
        <w:pStyle w:val="16"/>
        <w:spacing w:line="240" w:lineRule="auto"/>
        <w:ind w:firstLine="0" w:firstLineChars="0"/>
        <w:rPr>
          <w:rFonts w:eastAsia="黑体" w:cs="Times New Roman"/>
          <w:b w:val="0"/>
          <w:bCs/>
        </w:rPr>
      </w:pPr>
      <w:r>
        <w:rPr>
          <w:rFonts w:eastAsia="黑体" w:cs="Times New Roman"/>
          <w:b w:val="0"/>
          <w:bCs/>
        </w:rPr>
        <w:t>图5-16  普通生态滤池示意图</w:t>
      </w:r>
    </w:p>
    <w:p>
      <w:pPr>
        <w:pStyle w:val="64"/>
        <w:rPr>
          <w:rFonts w:cs="Times New Roman"/>
        </w:rPr>
      </w:pPr>
      <w:r>
        <w:rPr>
          <w:rFonts w:cs="Times New Roman"/>
        </w:rPr>
        <w:drawing>
          <wp:inline distT="0" distB="0" distL="0" distR="0">
            <wp:extent cx="4572000" cy="1439545"/>
            <wp:effectExtent l="0" t="0" r="0" b="825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85" cstate="print"/>
                    <a:stretch>
                      <a:fillRect/>
                    </a:stretch>
                  </pic:blipFill>
                  <pic:spPr>
                    <a:xfrm>
                      <a:off x="0" y="0"/>
                      <a:ext cx="4572369" cy="1440000"/>
                    </a:xfrm>
                    <a:prstGeom prst="rect">
                      <a:avLst/>
                    </a:prstGeom>
                  </pic:spPr>
                </pic:pic>
              </a:graphicData>
            </a:graphic>
          </wp:inline>
        </w:drawing>
      </w:r>
    </w:p>
    <w:p>
      <w:pPr>
        <w:pStyle w:val="19"/>
        <w:spacing w:line="360" w:lineRule="auto"/>
        <w:ind w:firstLine="0" w:firstLineChars="0"/>
        <w:jc w:val="center"/>
      </w:pPr>
      <w:r>
        <w:drawing>
          <wp:inline distT="0" distB="0" distL="0" distR="0">
            <wp:extent cx="2922270" cy="2303780"/>
            <wp:effectExtent l="0" t="0" r="0" b="1270"/>
            <wp:docPr id="11" name="图片 10" descr="图片包含 建筑, 户外, 草, 房子&#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图片包含 建筑, 户外, 草, 房子&#10;&#10;描述已自动生成"/>
                    <pic:cNvPicPr>
                      <a:picLocks noChangeAspect="1"/>
                    </pic:cNvPicPr>
                  </pic:nvPicPr>
                  <pic:blipFill>
                    <a:blip r:embed="rId86" cstate="print"/>
                    <a:stretch>
                      <a:fillRect/>
                    </a:stretch>
                  </pic:blipFill>
                  <pic:spPr>
                    <a:xfrm>
                      <a:off x="0" y="0"/>
                      <a:ext cx="2922769" cy="2304000"/>
                    </a:xfrm>
                    <a:prstGeom prst="rect">
                      <a:avLst/>
                    </a:prstGeom>
                  </pic:spPr>
                </pic:pic>
              </a:graphicData>
            </a:graphic>
          </wp:inline>
        </w:drawing>
      </w:r>
    </w:p>
    <w:p>
      <w:pPr>
        <w:pStyle w:val="16"/>
        <w:spacing w:line="240" w:lineRule="auto"/>
        <w:ind w:firstLine="0" w:firstLineChars="0"/>
        <w:rPr>
          <w:rFonts w:eastAsia="黑体" w:cs="Times New Roman"/>
          <w:b w:val="0"/>
          <w:bCs/>
        </w:rPr>
      </w:pPr>
      <w:r>
        <w:rPr>
          <w:rFonts w:eastAsia="黑体" w:cs="Times New Roman"/>
          <w:b w:val="0"/>
          <w:bCs/>
        </w:rPr>
        <w:t>图5-17  小型人工湿地示意图</w:t>
      </w:r>
    </w:p>
    <w:p>
      <w:pPr>
        <w:ind w:firstLine="480"/>
        <w:rPr>
          <w:rFonts w:cs="Times New Roman"/>
        </w:rPr>
      </w:pPr>
      <w:r>
        <w:rPr>
          <w:rFonts w:cs="Times New Roman"/>
        </w:rPr>
        <w:t>分散式处理村庄有</w:t>
      </w:r>
      <w:r>
        <w:rPr>
          <w:rFonts w:hint="eastAsia" w:cs="Times New Roman"/>
          <w:lang w:eastAsia="zh-CN"/>
        </w:rPr>
        <w:t>义门镇刘家畔村、桥头镇夏柳青村、腰庄乡腰庄村、</w:t>
      </w:r>
      <w:r>
        <w:rPr>
          <w:rFonts w:cs="Times New Roman"/>
        </w:rPr>
        <w:t>冯家川乡</w:t>
      </w:r>
      <w:r>
        <w:rPr>
          <w:rFonts w:hint="eastAsia" w:cs="Times New Roman"/>
          <w:lang w:eastAsia="zh-CN"/>
        </w:rPr>
        <w:t>冯家川</w:t>
      </w:r>
      <w:r>
        <w:rPr>
          <w:rFonts w:cs="Times New Roman"/>
        </w:rPr>
        <w:t>村、</w:t>
      </w:r>
      <w:r>
        <w:rPr>
          <w:rFonts w:hint="eastAsia" w:cs="Times New Roman"/>
          <w:lang w:eastAsia="zh-CN"/>
        </w:rPr>
        <w:t>冯家川乡神山</w:t>
      </w:r>
      <w:r>
        <w:rPr>
          <w:rFonts w:cs="Times New Roman"/>
        </w:rPr>
        <w:t>村，目前这些村庄常住人口数相对较少（</w:t>
      </w:r>
      <w:r>
        <w:rPr>
          <w:rFonts w:hint="eastAsia" w:cs="Times New Roman"/>
          <w:lang w:val="en-US" w:eastAsia="zh-CN"/>
        </w:rPr>
        <w:t>350、620、642</w:t>
      </w:r>
      <w:r>
        <w:rPr>
          <w:rFonts w:cs="Times New Roman"/>
        </w:rPr>
        <w:t>、</w:t>
      </w:r>
      <w:r>
        <w:rPr>
          <w:rFonts w:hint="eastAsia" w:cs="Times New Roman"/>
          <w:lang w:val="en-US" w:eastAsia="zh-CN"/>
        </w:rPr>
        <w:t>280、300</w:t>
      </w:r>
      <w:r>
        <w:rPr>
          <w:rFonts w:cs="Times New Roman"/>
        </w:rPr>
        <w:t>），每户约2～3人，且每家每户都有较为宽敞的院子，规划以每</w:t>
      </w:r>
      <w:r>
        <w:rPr>
          <w:rFonts w:hint="eastAsia" w:cs="Times New Roman"/>
          <w:lang w:val="en-US" w:eastAsia="zh-CN"/>
        </w:rPr>
        <w:t>5</w:t>
      </w:r>
      <w:r>
        <w:rPr>
          <w:rFonts w:cs="Times New Roman"/>
        </w:rPr>
        <w:t>户为一个收集纳污基本单位，设置一个污水处理设施。</w:t>
      </w:r>
      <w:r>
        <w:rPr>
          <w:rFonts w:hint="eastAsia" w:cs="Times New Roman"/>
          <w:lang w:eastAsia="zh-CN"/>
        </w:rPr>
        <w:t>义门镇刘家畔村、桥头镇夏柳青村、腰庄乡腰庄村、</w:t>
      </w:r>
      <w:r>
        <w:rPr>
          <w:rFonts w:cs="Times New Roman"/>
        </w:rPr>
        <w:t>冯家川乡</w:t>
      </w:r>
      <w:r>
        <w:rPr>
          <w:rFonts w:hint="eastAsia" w:cs="Times New Roman"/>
          <w:lang w:eastAsia="zh-CN"/>
        </w:rPr>
        <w:t>冯家川</w:t>
      </w:r>
      <w:r>
        <w:rPr>
          <w:rFonts w:cs="Times New Roman"/>
        </w:rPr>
        <w:t>村、</w:t>
      </w:r>
      <w:r>
        <w:rPr>
          <w:rFonts w:hint="eastAsia" w:cs="Times New Roman"/>
          <w:lang w:eastAsia="zh-CN"/>
        </w:rPr>
        <w:t>冯家川乡神山</w:t>
      </w:r>
      <w:r>
        <w:rPr>
          <w:rFonts w:cs="Times New Roman"/>
        </w:rPr>
        <w:t>村住户数相对较为集中，大多以2～5户成群聚集，根据村庄住房分布情况，考虑以5户为一个基本单位，每户约2～3人。保德县</w:t>
      </w:r>
      <w:r>
        <w:rPr>
          <w:rFonts w:hint="eastAsia" w:cs="Times New Roman"/>
          <w:lang w:val="en-US" w:eastAsia="zh-CN"/>
        </w:rPr>
        <w:t>5</w:t>
      </w:r>
      <w:r>
        <w:rPr>
          <w:rFonts w:cs="Times New Roman"/>
        </w:rPr>
        <w:t>个分散治理村庄的处理设施数量和规模如表5-16。</w:t>
      </w:r>
    </w:p>
    <w:p>
      <w:pPr>
        <w:ind w:firstLine="480"/>
        <w:rPr>
          <w:rFonts w:cs="Times New Roman"/>
        </w:rPr>
      </w:pPr>
      <w:r>
        <w:rPr>
          <w:rFonts w:cs="Times New Roman"/>
        </w:rPr>
        <w:t>以</w:t>
      </w:r>
      <w:r>
        <w:rPr>
          <w:rFonts w:hint="eastAsia" w:cs="Times New Roman"/>
        </w:rPr>
        <w:t>腰庄乡</w:t>
      </w:r>
      <w:r>
        <w:rPr>
          <w:rFonts w:hint="eastAsia" w:cs="Times New Roman"/>
          <w:lang w:eastAsia="zh-CN"/>
        </w:rPr>
        <w:t>腰庄村</w:t>
      </w:r>
      <w:r>
        <w:rPr>
          <w:rFonts w:hint="eastAsia" w:cs="Times New Roman"/>
        </w:rPr>
        <w:t>村</w:t>
      </w:r>
      <w:r>
        <w:rPr>
          <w:rFonts w:cs="Times New Roman"/>
        </w:rPr>
        <w:t>为例，村内老年人比例较高，厕所为旱厕，无完善的给排水设施，经调查现有常住人口约</w:t>
      </w:r>
      <w:r>
        <w:rPr>
          <w:rFonts w:hint="eastAsia" w:cs="Times New Roman"/>
          <w:lang w:val="en-US" w:eastAsia="zh-CN"/>
        </w:rPr>
        <w:t>642</w:t>
      </w:r>
      <w:r>
        <w:rPr>
          <w:rFonts w:cs="Times New Roman"/>
        </w:rPr>
        <w:t>人，每户约3人，人均排水量</w:t>
      </w:r>
      <w:r>
        <w:rPr>
          <w:rFonts w:hint="eastAsia" w:cs="Times New Roman"/>
          <w:lang w:val="en-US" w:eastAsia="zh-CN"/>
        </w:rPr>
        <w:t>63</w:t>
      </w:r>
      <w:r>
        <w:rPr>
          <w:rFonts w:cs="Times New Roman"/>
        </w:rPr>
        <w:t>L/（人•d），则每户日排水总量约0.1</w:t>
      </w:r>
      <w:r>
        <w:rPr>
          <w:rFonts w:hint="eastAsia" w:cs="Times New Roman"/>
          <w:lang w:val="en-US" w:eastAsia="zh-CN"/>
        </w:rPr>
        <w:t>89</w:t>
      </w:r>
      <w:r>
        <w:rPr>
          <w:rFonts w:cs="Times New Roman"/>
        </w:rPr>
        <w:t>m</w:t>
      </w:r>
      <w:r>
        <w:rPr>
          <w:rFonts w:cs="Times New Roman"/>
          <w:vertAlign w:val="superscript"/>
        </w:rPr>
        <w:t>3</w:t>
      </w:r>
      <w:r>
        <w:rPr>
          <w:rFonts w:cs="Times New Roman"/>
        </w:rPr>
        <w:t>/d。由于无水冲厕，生活污水主要来源于厨房排水、洗衣和洗浴排水等，污染物浓度较低，以污水处理量0.1</w:t>
      </w:r>
      <w:r>
        <w:rPr>
          <w:rFonts w:hint="eastAsia" w:cs="Times New Roman"/>
          <w:lang w:val="en-US" w:eastAsia="zh-CN"/>
        </w:rPr>
        <w:t>89</w:t>
      </w:r>
      <w:r>
        <w:rPr>
          <w:rFonts w:cs="Times New Roman"/>
        </w:rPr>
        <w:t>m</w:t>
      </w:r>
      <w:r>
        <w:rPr>
          <w:rFonts w:cs="Times New Roman"/>
          <w:vertAlign w:val="superscript"/>
        </w:rPr>
        <w:t>3</w:t>
      </w:r>
      <w:r>
        <w:rPr>
          <w:rFonts w:cs="Times New Roman"/>
        </w:rPr>
        <w:t>/d，原水BOD200mg/L计，按照水力负荷计算，人工湿地面积：</w:t>
      </w:r>
    </w:p>
    <w:p>
      <w:pPr>
        <w:ind w:firstLine="480"/>
        <w:rPr>
          <w:rFonts w:cs="Times New Roman"/>
        </w:rPr>
      </w:pPr>
      <w:r>
        <w:rPr>
          <w:rFonts w:cs="Times New Roman"/>
        </w:rPr>
        <w:t>A1=0.1</w:t>
      </w:r>
      <w:r>
        <w:rPr>
          <w:rFonts w:hint="eastAsia" w:cs="Times New Roman"/>
          <w:lang w:val="en-US" w:eastAsia="zh-CN"/>
        </w:rPr>
        <w:t>89</w:t>
      </w:r>
      <w:r>
        <w:rPr>
          <w:rFonts w:cs="Times New Roman"/>
        </w:rPr>
        <w:t>/0.2=0.</w:t>
      </w:r>
      <w:r>
        <w:rPr>
          <w:rFonts w:hint="eastAsia" w:cs="Times New Roman"/>
          <w:lang w:val="en-US" w:eastAsia="zh-CN"/>
        </w:rPr>
        <w:t>945</w:t>
      </w:r>
      <w:r>
        <w:rPr>
          <w:rFonts w:cs="Times New Roman"/>
        </w:rPr>
        <w:t>m</w:t>
      </w:r>
      <w:r>
        <w:rPr>
          <w:rFonts w:cs="Times New Roman"/>
          <w:vertAlign w:val="superscript"/>
        </w:rPr>
        <w:t>2</w:t>
      </w:r>
    </w:p>
    <w:p>
      <w:pPr>
        <w:ind w:firstLine="480"/>
        <w:rPr>
          <w:rFonts w:cs="Times New Roman"/>
        </w:rPr>
      </w:pPr>
      <w:r>
        <w:rPr>
          <w:rFonts w:cs="Times New Roman"/>
        </w:rPr>
        <w:t>按BOD负荷计算，人工湿地面积：</w:t>
      </w:r>
    </w:p>
    <w:p>
      <w:pPr>
        <w:ind w:firstLine="480"/>
        <w:rPr>
          <w:rFonts w:cs="Times New Roman"/>
        </w:rPr>
      </w:pPr>
      <w:r>
        <w:rPr>
          <w:rFonts w:cs="Times New Roman"/>
        </w:rPr>
        <w:t>A2=（0.1</w:t>
      </w:r>
      <w:r>
        <w:rPr>
          <w:rFonts w:hint="eastAsia" w:cs="Times New Roman"/>
          <w:lang w:val="en-US" w:eastAsia="zh-CN"/>
        </w:rPr>
        <w:t>89</w:t>
      </w:r>
      <w:r>
        <w:rPr>
          <w:rFonts w:cs="Times New Roman"/>
        </w:rPr>
        <w:t>*（200-100））/10=1.</w:t>
      </w:r>
      <w:r>
        <w:rPr>
          <w:rFonts w:hint="eastAsia" w:cs="Times New Roman"/>
          <w:lang w:val="en-US" w:eastAsia="zh-CN"/>
        </w:rPr>
        <w:t>89</w:t>
      </w:r>
      <w:r>
        <w:rPr>
          <w:rFonts w:cs="Times New Roman"/>
        </w:rPr>
        <w:t>m</w:t>
      </w:r>
      <w:r>
        <w:rPr>
          <w:rFonts w:cs="Times New Roman"/>
          <w:vertAlign w:val="superscript"/>
        </w:rPr>
        <w:t>2</w:t>
      </w:r>
    </w:p>
    <w:p>
      <w:pPr>
        <w:ind w:firstLine="480"/>
        <w:rPr>
          <w:rFonts w:cs="Times New Roman"/>
        </w:rPr>
      </w:pPr>
      <w:r>
        <w:rPr>
          <w:rFonts w:cs="Times New Roman"/>
        </w:rPr>
        <w:t>两者取最大值，因此每户居民污水处理所需的最大面积为1.</w:t>
      </w:r>
      <w:r>
        <w:rPr>
          <w:rFonts w:hint="eastAsia" w:cs="Times New Roman"/>
          <w:lang w:val="en-US" w:eastAsia="zh-CN"/>
        </w:rPr>
        <w:t>89</w:t>
      </w:r>
      <w:r>
        <w:rPr>
          <w:rFonts w:cs="Times New Roman"/>
        </w:rPr>
        <w:t>m</w:t>
      </w:r>
      <w:r>
        <w:rPr>
          <w:rFonts w:cs="Times New Roman"/>
          <w:vertAlign w:val="superscript"/>
        </w:rPr>
        <w:t>2</w:t>
      </w:r>
      <w:r>
        <w:rPr>
          <w:rFonts w:cs="Times New Roman"/>
        </w:rPr>
        <w:t>。</w:t>
      </w:r>
    </w:p>
    <w:p>
      <w:pPr>
        <w:ind w:firstLine="480"/>
        <w:rPr>
          <w:rFonts w:cs="Times New Roman"/>
        </w:rPr>
      </w:pPr>
      <w:r>
        <w:rPr>
          <w:rFonts w:hint="eastAsia" w:cs="Times New Roman"/>
          <w:lang w:eastAsia="zh-CN"/>
        </w:rPr>
        <w:t>其余乡镇均以</w:t>
      </w:r>
      <w:r>
        <w:rPr>
          <w:rFonts w:hint="eastAsia" w:cs="Times New Roman"/>
          <w:lang w:val="en-US" w:eastAsia="zh-CN"/>
        </w:rPr>
        <w:t>5户</w:t>
      </w:r>
      <w:r>
        <w:rPr>
          <w:rFonts w:cs="Times New Roman"/>
        </w:rPr>
        <w:t>作为一个单位，</w:t>
      </w:r>
      <w:r>
        <w:rPr>
          <w:rFonts w:hint="eastAsia" w:cs="Times New Roman"/>
          <w:lang w:eastAsia="zh-CN"/>
        </w:rPr>
        <w:t>刘家畔</w:t>
      </w:r>
      <w:r>
        <w:rPr>
          <w:rFonts w:cs="Times New Roman"/>
        </w:rPr>
        <w:t>村每个人工湿地面积为</w:t>
      </w:r>
      <w:r>
        <w:rPr>
          <w:rFonts w:hint="eastAsia" w:cs="Times New Roman"/>
          <w:lang w:val="en-US" w:eastAsia="zh-CN"/>
        </w:rPr>
        <w:t>0.9</w:t>
      </w:r>
      <w:r>
        <w:rPr>
          <w:rFonts w:cs="Times New Roman"/>
        </w:rPr>
        <w:t>m</w:t>
      </w:r>
      <w:r>
        <w:rPr>
          <w:rFonts w:cs="Times New Roman"/>
          <w:vertAlign w:val="superscript"/>
        </w:rPr>
        <w:t>2</w:t>
      </w:r>
      <w:r>
        <w:rPr>
          <w:rFonts w:cs="Times New Roman"/>
        </w:rPr>
        <w:t>，</w:t>
      </w:r>
      <w:r>
        <w:rPr>
          <w:rFonts w:hint="eastAsia" w:cs="Times New Roman"/>
          <w:lang w:eastAsia="zh-CN"/>
        </w:rPr>
        <w:t>夏柳青</w:t>
      </w:r>
      <w:r>
        <w:rPr>
          <w:rFonts w:cs="Times New Roman"/>
        </w:rPr>
        <w:t>村每个人工湿地面积为</w:t>
      </w:r>
      <w:r>
        <w:rPr>
          <w:rFonts w:hint="eastAsia" w:cs="Times New Roman"/>
          <w:lang w:val="en-US" w:eastAsia="zh-CN"/>
        </w:rPr>
        <w:t>1.8</w:t>
      </w:r>
      <w:r>
        <w:rPr>
          <w:rFonts w:cs="Times New Roman"/>
        </w:rPr>
        <w:t>m</w:t>
      </w:r>
      <w:r>
        <w:rPr>
          <w:rFonts w:cs="Times New Roman"/>
          <w:vertAlign w:val="superscript"/>
        </w:rPr>
        <w:t>2</w:t>
      </w:r>
      <w:r>
        <w:rPr>
          <w:rFonts w:cs="Times New Roman"/>
        </w:rPr>
        <w:t>，</w:t>
      </w:r>
      <w:r>
        <w:rPr>
          <w:rFonts w:hint="eastAsia" w:cs="Times New Roman"/>
          <w:lang w:eastAsia="zh-CN"/>
        </w:rPr>
        <w:t>冯家川</w:t>
      </w:r>
      <w:r>
        <w:rPr>
          <w:rFonts w:cs="Times New Roman"/>
        </w:rPr>
        <w:t>村每个人工湿地面积为</w:t>
      </w:r>
      <w:r>
        <w:rPr>
          <w:rFonts w:hint="eastAsia" w:cs="Times New Roman"/>
          <w:lang w:val="en-US" w:eastAsia="zh-CN"/>
        </w:rPr>
        <w:t>1.2</w:t>
      </w:r>
      <w:r>
        <w:rPr>
          <w:rFonts w:cs="Times New Roman"/>
        </w:rPr>
        <w:t>m</w:t>
      </w:r>
      <w:r>
        <w:rPr>
          <w:rFonts w:cs="Times New Roman"/>
          <w:vertAlign w:val="superscript"/>
        </w:rPr>
        <w:t>2</w:t>
      </w:r>
      <w:r>
        <w:rPr>
          <w:rFonts w:hint="eastAsia" w:cs="Times New Roman"/>
          <w:vertAlign w:val="baseline"/>
          <w:lang w:eastAsia="zh-CN"/>
        </w:rPr>
        <w:t>，</w:t>
      </w:r>
      <w:r>
        <w:rPr>
          <w:rFonts w:hint="eastAsia" w:cs="Times New Roman"/>
          <w:lang w:eastAsia="zh-CN"/>
        </w:rPr>
        <w:t>神山</w:t>
      </w:r>
      <w:r>
        <w:rPr>
          <w:rFonts w:cs="Times New Roman"/>
        </w:rPr>
        <w:t>村每个人工湿地面积为</w:t>
      </w:r>
      <w:r>
        <w:rPr>
          <w:rFonts w:hint="eastAsia" w:cs="Times New Roman"/>
          <w:lang w:val="en-US" w:eastAsia="zh-CN"/>
        </w:rPr>
        <w:t>2.28</w:t>
      </w:r>
      <w:r>
        <w:rPr>
          <w:rFonts w:cs="Times New Roman"/>
        </w:rPr>
        <w:t>m</w:t>
      </w:r>
      <w:r>
        <w:rPr>
          <w:rFonts w:cs="Times New Roman"/>
          <w:vertAlign w:val="superscript"/>
        </w:rPr>
        <w:t>2</w:t>
      </w:r>
      <w:r>
        <w:rPr>
          <w:rFonts w:cs="Times New Roman"/>
        </w:rPr>
        <w:t>。</w:t>
      </w:r>
    </w:p>
    <w:p>
      <w:pPr>
        <w:pStyle w:val="16"/>
        <w:ind w:firstLine="0" w:firstLineChars="0"/>
        <w:rPr>
          <w:rFonts w:eastAsia="黑体" w:cs="Times New Roman"/>
          <w:b w:val="0"/>
          <w:bCs/>
        </w:rPr>
      </w:pPr>
      <w:r>
        <w:rPr>
          <w:rFonts w:eastAsia="黑体" w:cs="Times New Roman"/>
          <w:b w:val="0"/>
          <w:bCs/>
        </w:rPr>
        <w:t>表5-16 分散污水治理村庄情况</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8"/>
        <w:gridCol w:w="1085"/>
        <w:gridCol w:w="1163"/>
        <w:gridCol w:w="1308"/>
        <w:gridCol w:w="1145"/>
        <w:gridCol w:w="950"/>
        <w:gridCol w:w="27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tblHeader/>
        </w:trPr>
        <w:tc>
          <w:tcPr>
            <w:tcW w:w="358" w:type="pc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序号</w:t>
            </w:r>
          </w:p>
        </w:tc>
        <w:tc>
          <w:tcPr>
            <w:tcW w:w="598" w:type="pct"/>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乡镇</w:t>
            </w:r>
          </w:p>
        </w:tc>
        <w:tc>
          <w:tcPr>
            <w:tcW w:w="641" w:type="pc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721" w:type="pct"/>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调查人均排水量/L/d</w:t>
            </w:r>
          </w:p>
        </w:tc>
        <w:tc>
          <w:tcPr>
            <w:tcW w:w="631" w:type="pct"/>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处理工艺</w:t>
            </w:r>
          </w:p>
        </w:tc>
        <w:tc>
          <w:tcPr>
            <w:tcW w:w="524" w:type="pct"/>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设施数量</w:t>
            </w:r>
          </w:p>
        </w:tc>
        <w:tc>
          <w:tcPr>
            <w:tcW w:w="1522" w:type="pc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每个设施处理规模（m</w:t>
            </w:r>
            <w:r>
              <w:rPr>
                <w:rFonts w:eastAsia="黑体" w:cs="Times New Roman"/>
                <w:kern w:val="0"/>
                <w:sz w:val="21"/>
                <w:szCs w:val="21"/>
                <w:vertAlign w:val="superscript"/>
              </w:rPr>
              <w:t>3</w:t>
            </w:r>
            <w:r>
              <w:rPr>
                <w:rFonts w:eastAsia="黑体" w:cs="Times New Roman"/>
                <w:kern w:val="0"/>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trPr>
        <w:tc>
          <w:tcPr>
            <w:tcW w:w="358" w:type="pct"/>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1</w:t>
            </w:r>
          </w:p>
        </w:tc>
        <w:tc>
          <w:tcPr>
            <w:tcW w:w="598" w:type="pct"/>
            <w:vAlign w:val="center"/>
          </w:tcPr>
          <w:p>
            <w:pPr>
              <w:widowControl/>
              <w:spacing w:line="240" w:lineRule="auto"/>
              <w:ind w:firstLine="0" w:firstLineChars="0"/>
              <w:jc w:val="center"/>
              <w:rPr>
                <w:rFonts w:hint="eastAsia" w:eastAsia="宋体" w:cs="Times New Roman"/>
                <w:kern w:val="0"/>
                <w:sz w:val="21"/>
                <w:szCs w:val="21"/>
                <w:lang w:eastAsia="zh-CN"/>
              </w:rPr>
            </w:pPr>
            <w:r>
              <w:rPr>
                <w:rFonts w:hint="eastAsia" w:cs="Times New Roman"/>
                <w:kern w:val="0"/>
                <w:sz w:val="21"/>
                <w:szCs w:val="21"/>
                <w:lang w:eastAsia="zh-CN"/>
              </w:rPr>
              <w:t>义门镇</w:t>
            </w:r>
          </w:p>
        </w:tc>
        <w:tc>
          <w:tcPr>
            <w:tcW w:w="641" w:type="pct"/>
            <w:shd w:val="clear" w:color="auto" w:fill="auto"/>
            <w:noWrap/>
            <w:vAlign w:val="center"/>
          </w:tcPr>
          <w:p>
            <w:pPr>
              <w:widowControl/>
              <w:spacing w:line="240" w:lineRule="auto"/>
              <w:ind w:firstLine="0" w:firstLineChars="0"/>
              <w:jc w:val="center"/>
              <w:rPr>
                <w:rFonts w:hint="eastAsia" w:eastAsia="宋体" w:cs="Times New Roman"/>
                <w:kern w:val="0"/>
                <w:sz w:val="21"/>
                <w:szCs w:val="21"/>
                <w:lang w:eastAsia="zh-CN"/>
              </w:rPr>
            </w:pPr>
            <w:r>
              <w:rPr>
                <w:rFonts w:hint="eastAsia" w:cs="Times New Roman"/>
                <w:kern w:val="0"/>
                <w:sz w:val="21"/>
                <w:szCs w:val="21"/>
                <w:lang w:eastAsia="zh-CN"/>
              </w:rPr>
              <w:t>刘家畔村</w:t>
            </w:r>
          </w:p>
        </w:tc>
        <w:tc>
          <w:tcPr>
            <w:tcW w:w="721" w:type="pct"/>
            <w:vAlign w:val="center"/>
          </w:tcPr>
          <w:p>
            <w:pPr>
              <w:widowControl/>
              <w:spacing w:line="240" w:lineRule="auto"/>
              <w:ind w:firstLine="0" w:firstLineChars="0"/>
              <w:jc w:val="center"/>
              <w:rPr>
                <w:rFonts w:hint="default" w:eastAsia="宋体" w:cs="Times New Roman"/>
                <w:kern w:val="0"/>
                <w:sz w:val="21"/>
                <w:szCs w:val="21"/>
                <w:lang w:val="en-US" w:eastAsia="zh-CN"/>
              </w:rPr>
            </w:pPr>
            <w:r>
              <w:rPr>
                <w:rFonts w:hint="eastAsia" w:cs="Times New Roman"/>
                <w:kern w:val="0"/>
                <w:sz w:val="21"/>
                <w:szCs w:val="21"/>
                <w:lang w:val="en-US" w:eastAsia="zh-CN"/>
              </w:rPr>
              <w:t>10</w:t>
            </w:r>
          </w:p>
        </w:tc>
        <w:tc>
          <w:tcPr>
            <w:tcW w:w="631" w:type="pct"/>
            <w:vMerge w:val="restart"/>
            <w:vAlign w:val="center"/>
          </w:tcPr>
          <w:p>
            <w:pPr>
              <w:widowControl/>
              <w:spacing w:line="240" w:lineRule="auto"/>
              <w:ind w:firstLine="0" w:firstLineChars="0"/>
              <w:jc w:val="center"/>
              <w:rPr>
                <w:rFonts w:cs="Times New Roman"/>
                <w:kern w:val="0"/>
                <w:sz w:val="21"/>
                <w:szCs w:val="21"/>
              </w:rPr>
            </w:pPr>
            <w:r>
              <w:rPr>
                <w:rFonts w:hint="eastAsia" w:cs="Times New Roman"/>
                <w:kern w:val="0"/>
                <w:sz w:val="21"/>
                <w:szCs w:val="21"/>
              </w:rPr>
              <w:t>小型人工湿地/生物滤池</w:t>
            </w:r>
          </w:p>
        </w:tc>
        <w:tc>
          <w:tcPr>
            <w:tcW w:w="524" w:type="pct"/>
            <w:vAlign w:val="center"/>
          </w:tcPr>
          <w:p>
            <w:pPr>
              <w:widowControl/>
              <w:spacing w:line="240" w:lineRule="auto"/>
              <w:ind w:firstLine="0" w:firstLineChars="0"/>
              <w:jc w:val="center"/>
              <w:rPr>
                <w:rFonts w:hint="default" w:eastAsia="宋体" w:cs="Times New Roman"/>
                <w:kern w:val="0"/>
                <w:sz w:val="21"/>
                <w:szCs w:val="21"/>
                <w:lang w:val="en-US" w:eastAsia="zh-CN"/>
              </w:rPr>
            </w:pPr>
            <w:r>
              <w:rPr>
                <w:rFonts w:hint="eastAsia" w:cs="Times New Roman"/>
                <w:kern w:val="0"/>
                <w:sz w:val="21"/>
                <w:szCs w:val="21"/>
                <w:lang w:val="en-US" w:eastAsia="zh-CN"/>
              </w:rPr>
              <w:t>24</w:t>
            </w:r>
          </w:p>
        </w:tc>
        <w:tc>
          <w:tcPr>
            <w:tcW w:w="1522" w:type="pct"/>
            <w:shd w:val="clear" w:color="auto" w:fill="auto"/>
            <w:noWrap/>
            <w:vAlign w:val="center"/>
          </w:tcPr>
          <w:p>
            <w:pPr>
              <w:widowControl/>
              <w:spacing w:line="240" w:lineRule="auto"/>
              <w:ind w:firstLine="0" w:firstLineChars="0"/>
              <w:jc w:val="center"/>
              <w:rPr>
                <w:rFonts w:hint="default" w:eastAsia="宋体" w:cs="Times New Roman"/>
                <w:kern w:val="0"/>
                <w:sz w:val="21"/>
                <w:szCs w:val="21"/>
                <w:lang w:val="en-US" w:eastAsia="zh-CN"/>
              </w:rPr>
            </w:pPr>
            <w:r>
              <w:rPr>
                <w:rFonts w:hint="eastAsia" w:cs="Times New Roman"/>
                <w:kern w:val="0"/>
                <w:sz w:val="21"/>
                <w:szCs w:val="21"/>
                <w:lang w:val="en-US" w:eastAsia="zh-CN"/>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trPr>
        <w:tc>
          <w:tcPr>
            <w:tcW w:w="358" w:type="pct"/>
            <w:shd w:val="clear" w:color="auto" w:fill="auto"/>
            <w:noWrap/>
            <w:vAlign w:val="center"/>
          </w:tcPr>
          <w:p>
            <w:pPr>
              <w:widowControl/>
              <w:spacing w:line="240" w:lineRule="auto"/>
              <w:ind w:firstLine="0" w:firstLineChars="0"/>
              <w:jc w:val="center"/>
              <w:rPr>
                <w:rFonts w:cs="Times New Roman"/>
                <w:kern w:val="0"/>
                <w:sz w:val="21"/>
                <w:szCs w:val="21"/>
              </w:rPr>
            </w:pPr>
            <w:r>
              <w:rPr>
                <w:rFonts w:cs="Times New Roman"/>
                <w:kern w:val="0"/>
                <w:sz w:val="21"/>
                <w:szCs w:val="21"/>
              </w:rPr>
              <w:t>2</w:t>
            </w:r>
          </w:p>
        </w:tc>
        <w:tc>
          <w:tcPr>
            <w:tcW w:w="598" w:type="pct"/>
            <w:vAlign w:val="center"/>
          </w:tcPr>
          <w:p>
            <w:pPr>
              <w:widowControl/>
              <w:spacing w:line="240" w:lineRule="auto"/>
              <w:ind w:firstLine="0" w:firstLineChars="0"/>
              <w:jc w:val="center"/>
              <w:rPr>
                <w:rFonts w:hint="eastAsia" w:eastAsia="宋体" w:cs="Times New Roman"/>
                <w:kern w:val="0"/>
                <w:sz w:val="21"/>
                <w:szCs w:val="21"/>
                <w:lang w:eastAsia="zh-CN"/>
              </w:rPr>
            </w:pPr>
            <w:r>
              <w:rPr>
                <w:rFonts w:hint="eastAsia" w:cs="Times New Roman"/>
                <w:sz w:val="21"/>
                <w:szCs w:val="21"/>
                <w:lang w:eastAsia="zh-CN"/>
              </w:rPr>
              <w:t>桥头镇</w:t>
            </w:r>
          </w:p>
        </w:tc>
        <w:tc>
          <w:tcPr>
            <w:tcW w:w="641" w:type="pct"/>
            <w:shd w:val="clear" w:color="auto" w:fill="auto"/>
            <w:noWrap/>
            <w:vAlign w:val="center"/>
          </w:tcPr>
          <w:p>
            <w:pPr>
              <w:widowControl/>
              <w:spacing w:line="240" w:lineRule="auto"/>
              <w:ind w:firstLine="0" w:firstLineChars="0"/>
              <w:jc w:val="center"/>
              <w:rPr>
                <w:rFonts w:cs="Times New Roman"/>
                <w:kern w:val="0"/>
                <w:sz w:val="21"/>
                <w:szCs w:val="21"/>
              </w:rPr>
            </w:pPr>
            <w:r>
              <w:rPr>
                <w:rFonts w:hint="eastAsia" w:cs="Times New Roman"/>
                <w:sz w:val="21"/>
                <w:szCs w:val="21"/>
                <w:lang w:eastAsia="zh-CN"/>
              </w:rPr>
              <w:t>夏柳青</w:t>
            </w:r>
            <w:r>
              <w:rPr>
                <w:rFonts w:cs="Times New Roman"/>
                <w:sz w:val="21"/>
                <w:szCs w:val="21"/>
              </w:rPr>
              <w:t>村</w:t>
            </w:r>
          </w:p>
        </w:tc>
        <w:tc>
          <w:tcPr>
            <w:tcW w:w="721" w:type="pct"/>
            <w:vAlign w:val="center"/>
          </w:tcPr>
          <w:p>
            <w:pPr>
              <w:widowControl/>
              <w:spacing w:line="240" w:lineRule="auto"/>
              <w:ind w:firstLine="0" w:firstLineChars="0"/>
              <w:jc w:val="center"/>
              <w:rPr>
                <w:rFonts w:hint="eastAsia" w:eastAsia="宋体" w:cs="Times New Roman"/>
                <w:kern w:val="0"/>
                <w:sz w:val="21"/>
                <w:szCs w:val="21"/>
                <w:lang w:eastAsia="zh-CN"/>
              </w:rPr>
            </w:pPr>
            <w:r>
              <w:rPr>
                <w:rFonts w:cs="Times New Roman"/>
                <w:kern w:val="0"/>
                <w:sz w:val="21"/>
                <w:szCs w:val="21"/>
              </w:rPr>
              <w:t>2</w:t>
            </w:r>
            <w:r>
              <w:rPr>
                <w:rFonts w:hint="eastAsia" w:cs="Times New Roman"/>
                <w:kern w:val="0"/>
                <w:sz w:val="21"/>
                <w:szCs w:val="21"/>
                <w:lang w:val="en-US" w:eastAsia="zh-CN"/>
              </w:rPr>
              <w:t>6</w:t>
            </w:r>
          </w:p>
        </w:tc>
        <w:tc>
          <w:tcPr>
            <w:tcW w:w="631" w:type="pct"/>
            <w:vMerge w:val="continue"/>
            <w:vAlign w:val="center"/>
          </w:tcPr>
          <w:p>
            <w:pPr>
              <w:widowControl/>
              <w:spacing w:line="240" w:lineRule="auto"/>
              <w:ind w:firstLine="0" w:firstLineChars="0"/>
              <w:jc w:val="center"/>
              <w:rPr>
                <w:rFonts w:cs="Times New Roman"/>
                <w:kern w:val="0"/>
                <w:sz w:val="21"/>
                <w:szCs w:val="21"/>
              </w:rPr>
            </w:pPr>
          </w:p>
        </w:tc>
        <w:tc>
          <w:tcPr>
            <w:tcW w:w="524" w:type="pct"/>
            <w:vAlign w:val="center"/>
          </w:tcPr>
          <w:p>
            <w:pPr>
              <w:widowControl/>
              <w:spacing w:line="240" w:lineRule="auto"/>
              <w:ind w:firstLine="0" w:firstLineChars="0"/>
              <w:jc w:val="center"/>
              <w:rPr>
                <w:rFonts w:hint="default" w:eastAsia="宋体" w:cs="Times New Roman"/>
                <w:kern w:val="0"/>
                <w:sz w:val="21"/>
                <w:szCs w:val="21"/>
                <w:lang w:val="en-US" w:eastAsia="zh-CN"/>
              </w:rPr>
            </w:pPr>
            <w:r>
              <w:rPr>
                <w:rFonts w:hint="eastAsia" w:cs="Times New Roman"/>
                <w:kern w:val="0"/>
                <w:sz w:val="21"/>
                <w:szCs w:val="21"/>
                <w:lang w:val="en-US" w:eastAsia="zh-CN"/>
              </w:rPr>
              <w:t>42</w:t>
            </w:r>
          </w:p>
        </w:tc>
        <w:tc>
          <w:tcPr>
            <w:tcW w:w="1522" w:type="pct"/>
            <w:shd w:val="clear" w:color="auto" w:fill="auto"/>
            <w:noWrap/>
            <w:vAlign w:val="center"/>
          </w:tcPr>
          <w:p>
            <w:pPr>
              <w:widowControl/>
              <w:spacing w:line="240" w:lineRule="auto"/>
              <w:ind w:firstLine="0" w:firstLineChars="0"/>
              <w:jc w:val="center"/>
              <w:rPr>
                <w:rFonts w:hint="default" w:eastAsia="宋体" w:cs="Times New Roman"/>
                <w:kern w:val="0"/>
                <w:sz w:val="21"/>
                <w:szCs w:val="21"/>
                <w:lang w:val="en-US" w:eastAsia="zh-CN"/>
              </w:rPr>
            </w:pPr>
            <w:r>
              <w:rPr>
                <w:rFonts w:cs="Times New Roman"/>
                <w:kern w:val="0"/>
                <w:sz w:val="21"/>
                <w:szCs w:val="21"/>
              </w:rPr>
              <w:t>0.</w:t>
            </w:r>
            <w:r>
              <w:rPr>
                <w:rFonts w:hint="eastAsia" w:cs="Times New Roman"/>
                <w:kern w:val="0"/>
                <w:sz w:val="21"/>
                <w:szCs w:val="21"/>
                <w:lang w:val="en-US" w:eastAsia="zh-CN"/>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trPr>
        <w:tc>
          <w:tcPr>
            <w:tcW w:w="358" w:type="pct"/>
            <w:shd w:val="clear" w:color="auto" w:fill="auto"/>
            <w:noWrap/>
            <w:vAlign w:val="center"/>
          </w:tcPr>
          <w:p>
            <w:pPr>
              <w:widowControl/>
              <w:spacing w:line="240" w:lineRule="auto"/>
              <w:ind w:firstLine="0" w:firstLineChars="0"/>
              <w:jc w:val="center"/>
              <w:rPr>
                <w:rFonts w:hint="eastAsia" w:eastAsia="宋体" w:cs="Times New Roman"/>
                <w:kern w:val="0"/>
                <w:sz w:val="21"/>
                <w:szCs w:val="21"/>
                <w:lang w:val="en-US" w:eastAsia="zh-CN"/>
              </w:rPr>
            </w:pPr>
            <w:r>
              <w:rPr>
                <w:rFonts w:hint="eastAsia" w:cs="Times New Roman"/>
                <w:kern w:val="0"/>
                <w:sz w:val="21"/>
                <w:szCs w:val="21"/>
                <w:lang w:val="en-US" w:eastAsia="zh-CN"/>
              </w:rPr>
              <w:t>3</w:t>
            </w:r>
          </w:p>
        </w:tc>
        <w:tc>
          <w:tcPr>
            <w:tcW w:w="598" w:type="pct"/>
            <w:vAlign w:val="center"/>
          </w:tcPr>
          <w:p>
            <w:pPr>
              <w:widowControl/>
              <w:spacing w:line="240" w:lineRule="auto"/>
              <w:ind w:firstLine="0" w:firstLineChars="0"/>
              <w:jc w:val="center"/>
              <w:rPr>
                <w:rFonts w:ascii="Times New Roman" w:hAnsi="Times New Roman" w:eastAsia="宋体" w:cs="Times New Roman"/>
                <w:kern w:val="0"/>
                <w:sz w:val="21"/>
                <w:szCs w:val="21"/>
                <w:lang w:val="en-US" w:eastAsia="zh-CN" w:bidi="ar-SA"/>
              </w:rPr>
            </w:pPr>
            <w:r>
              <w:rPr>
                <w:rFonts w:cs="Times New Roman"/>
                <w:kern w:val="0"/>
                <w:sz w:val="21"/>
                <w:szCs w:val="21"/>
              </w:rPr>
              <w:t>腰庄乡</w:t>
            </w:r>
          </w:p>
        </w:tc>
        <w:tc>
          <w:tcPr>
            <w:tcW w:w="641" w:type="pct"/>
            <w:shd w:val="clear" w:color="auto" w:fill="auto"/>
            <w:noWrap/>
            <w:vAlign w:val="center"/>
          </w:tcPr>
          <w:p>
            <w:pPr>
              <w:widowControl/>
              <w:spacing w:line="240" w:lineRule="auto"/>
              <w:ind w:firstLine="0" w:firstLineChars="0"/>
              <w:jc w:val="center"/>
              <w:rPr>
                <w:rFonts w:ascii="Times New Roman" w:hAnsi="Times New Roman" w:eastAsia="宋体" w:cs="Times New Roman"/>
                <w:kern w:val="0"/>
                <w:sz w:val="21"/>
                <w:szCs w:val="21"/>
                <w:lang w:val="en-US" w:eastAsia="zh-CN" w:bidi="ar-SA"/>
              </w:rPr>
            </w:pPr>
            <w:r>
              <w:rPr>
                <w:rFonts w:hint="eastAsia" w:cs="Times New Roman"/>
                <w:kern w:val="0"/>
                <w:sz w:val="21"/>
                <w:szCs w:val="21"/>
                <w:lang w:eastAsia="zh-CN"/>
              </w:rPr>
              <w:t>腰庄</w:t>
            </w:r>
            <w:r>
              <w:rPr>
                <w:rFonts w:cs="Times New Roman"/>
                <w:kern w:val="0"/>
                <w:sz w:val="21"/>
                <w:szCs w:val="21"/>
              </w:rPr>
              <w:t>村</w:t>
            </w:r>
          </w:p>
        </w:tc>
        <w:tc>
          <w:tcPr>
            <w:tcW w:w="721" w:type="pct"/>
            <w:vAlign w:val="center"/>
          </w:tcPr>
          <w:p>
            <w:pPr>
              <w:widowControl/>
              <w:spacing w:line="240" w:lineRule="auto"/>
              <w:ind w:firstLine="0" w:firstLineChars="0"/>
              <w:jc w:val="center"/>
              <w:rPr>
                <w:rFonts w:hint="default"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rPr>
              <w:t>38</w:t>
            </w:r>
          </w:p>
        </w:tc>
        <w:tc>
          <w:tcPr>
            <w:tcW w:w="631" w:type="pct"/>
            <w:vMerge w:val="continue"/>
            <w:vAlign w:val="center"/>
          </w:tcPr>
          <w:p>
            <w:pPr>
              <w:widowControl/>
              <w:spacing w:line="240" w:lineRule="auto"/>
              <w:ind w:firstLine="0" w:firstLineChars="0"/>
              <w:jc w:val="center"/>
              <w:rPr>
                <w:rFonts w:cs="Times New Roman"/>
                <w:kern w:val="0"/>
                <w:sz w:val="21"/>
                <w:szCs w:val="21"/>
              </w:rPr>
            </w:pPr>
          </w:p>
        </w:tc>
        <w:tc>
          <w:tcPr>
            <w:tcW w:w="524" w:type="pct"/>
            <w:vAlign w:val="center"/>
          </w:tcPr>
          <w:p>
            <w:pPr>
              <w:widowControl/>
              <w:spacing w:line="240" w:lineRule="auto"/>
              <w:ind w:firstLine="0" w:firstLineChars="0"/>
              <w:jc w:val="center"/>
              <w:rPr>
                <w:rFonts w:hint="default"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rPr>
              <w:t>43</w:t>
            </w:r>
          </w:p>
        </w:tc>
        <w:tc>
          <w:tcPr>
            <w:tcW w:w="1522" w:type="pct"/>
            <w:shd w:val="clear" w:color="auto" w:fill="auto"/>
            <w:noWrap/>
            <w:vAlign w:val="center"/>
          </w:tcPr>
          <w:p>
            <w:pPr>
              <w:widowControl/>
              <w:spacing w:line="240" w:lineRule="auto"/>
              <w:ind w:firstLine="0" w:firstLineChars="0"/>
              <w:jc w:val="center"/>
              <w:rPr>
                <w:rFonts w:hint="default" w:ascii="Times New Roman" w:hAnsi="Times New Roman" w:eastAsia="宋体" w:cs="Times New Roman"/>
                <w:kern w:val="0"/>
                <w:sz w:val="21"/>
                <w:szCs w:val="21"/>
                <w:lang w:val="en-US" w:eastAsia="zh-CN" w:bidi="ar-SA"/>
              </w:rPr>
            </w:pPr>
            <w:r>
              <w:rPr>
                <w:rFonts w:cs="Times New Roman"/>
                <w:kern w:val="0"/>
                <w:sz w:val="21"/>
                <w:szCs w:val="21"/>
              </w:rPr>
              <w:t>0.</w:t>
            </w:r>
            <w:r>
              <w:rPr>
                <w:rFonts w:hint="eastAsia" w:cs="Times New Roman"/>
                <w:kern w:val="0"/>
                <w:sz w:val="21"/>
                <w:szCs w:val="21"/>
                <w:lang w:val="en-US" w:eastAsia="zh-CN"/>
              </w:rPr>
              <w:t>378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trPr>
        <w:tc>
          <w:tcPr>
            <w:tcW w:w="358" w:type="pct"/>
            <w:shd w:val="clear" w:color="auto" w:fill="auto"/>
            <w:noWrap/>
            <w:vAlign w:val="center"/>
          </w:tcPr>
          <w:p>
            <w:pPr>
              <w:widowControl/>
              <w:spacing w:line="240" w:lineRule="auto"/>
              <w:ind w:firstLine="0" w:firstLineChars="0"/>
              <w:jc w:val="center"/>
              <w:rPr>
                <w:rFonts w:hint="eastAsia" w:eastAsia="宋体" w:cs="Times New Roman"/>
                <w:kern w:val="0"/>
                <w:sz w:val="21"/>
                <w:szCs w:val="21"/>
                <w:lang w:val="en-US" w:eastAsia="zh-CN"/>
              </w:rPr>
            </w:pPr>
            <w:r>
              <w:rPr>
                <w:rFonts w:hint="eastAsia" w:cs="Times New Roman"/>
                <w:kern w:val="0"/>
                <w:sz w:val="21"/>
                <w:szCs w:val="21"/>
                <w:lang w:val="en-US" w:eastAsia="zh-CN"/>
              </w:rPr>
              <w:t>4</w:t>
            </w:r>
          </w:p>
        </w:tc>
        <w:tc>
          <w:tcPr>
            <w:tcW w:w="598" w:type="pct"/>
            <w:vAlign w:val="center"/>
          </w:tcPr>
          <w:p>
            <w:pPr>
              <w:widowControl/>
              <w:spacing w:line="240" w:lineRule="auto"/>
              <w:ind w:firstLine="0" w:firstLineChars="0"/>
              <w:jc w:val="center"/>
              <w:rPr>
                <w:rFonts w:hint="eastAsia" w:eastAsia="宋体" w:cs="Times New Roman"/>
                <w:sz w:val="21"/>
                <w:szCs w:val="21"/>
                <w:lang w:eastAsia="zh-CN"/>
              </w:rPr>
            </w:pPr>
            <w:r>
              <w:rPr>
                <w:rFonts w:hint="eastAsia" w:cs="Times New Roman"/>
                <w:sz w:val="21"/>
                <w:szCs w:val="21"/>
                <w:lang w:eastAsia="zh-CN"/>
              </w:rPr>
              <w:t>冯家川乡</w:t>
            </w:r>
          </w:p>
        </w:tc>
        <w:tc>
          <w:tcPr>
            <w:tcW w:w="641" w:type="pct"/>
            <w:shd w:val="clear" w:color="auto" w:fill="auto"/>
            <w:noWrap/>
            <w:vAlign w:val="center"/>
          </w:tcPr>
          <w:p>
            <w:pPr>
              <w:widowControl/>
              <w:spacing w:line="240" w:lineRule="auto"/>
              <w:ind w:firstLine="0" w:firstLineChars="0"/>
              <w:jc w:val="center"/>
              <w:rPr>
                <w:rFonts w:hint="eastAsia" w:eastAsia="宋体" w:cs="Times New Roman"/>
                <w:sz w:val="21"/>
                <w:szCs w:val="21"/>
                <w:lang w:eastAsia="zh-CN"/>
              </w:rPr>
            </w:pPr>
            <w:r>
              <w:rPr>
                <w:rFonts w:hint="eastAsia" w:cs="Times New Roman"/>
                <w:sz w:val="21"/>
                <w:szCs w:val="21"/>
                <w:lang w:eastAsia="zh-CN"/>
              </w:rPr>
              <w:t>冯家川村</w:t>
            </w:r>
          </w:p>
        </w:tc>
        <w:tc>
          <w:tcPr>
            <w:tcW w:w="721" w:type="pct"/>
            <w:vAlign w:val="center"/>
          </w:tcPr>
          <w:p>
            <w:pPr>
              <w:widowControl/>
              <w:spacing w:line="240" w:lineRule="auto"/>
              <w:ind w:firstLine="0" w:firstLineChars="0"/>
              <w:jc w:val="center"/>
              <w:rPr>
                <w:rFonts w:hint="default" w:eastAsia="宋体" w:cs="Times New Roman"/>
                <w:kern w:val="0"/>
                <w:sz w:val="21"/>
                <w:szCs w:val="21"/>
                <w:lang w:val="en-US" w:eastAsia="zh-CN"/>
              </w:rPr>
            </w:pPr>
            <w:r>
              <w:rPr>
                <w:rFonts w:hint="eastAsia" w:cs="Times New Roman"/>
                <w:kern w:val="0"/>
                <w:sz w:val="21"/>
                <w:szCs w:val="21"/>
                <w:lang w:val="en-US" w:eastAsia="zh-CN"/>
              </w:rPr>
              <w:t>15</w:t>
            </w:r>
          </w:p>
        </w:tc>
        <w:tc>
          <w:tcPr>
            <w:tcW w:w="631" w:type="pct"/>
            <w:vMerge w:val="continue"/>
            <w:vAlign w:val="center"/>
          </w:tcPr>
          <w:p>
            <w:pPr>
              <w:widowControl/>
              <w:spacing w:line="240" w:lineRule="auto"/>
              <w:ind w:firstLine="0" w:firstLineChars="0"/>
              <w:jc w:val="center"/>
              <w:rPr>
                <w:rFonts w:cs="Times New Roman"/>
                <w:kern w:val="0"/>
                <w:sz w:val="21"/>
                <w:szCs w:val="21"/>
              </w:rPr>
            </w:pPr>
          </w:p>
        </w:tc>
        <w:tc>
          <w:tcPr>
            <w:tcW w:w="524" w:type="pct"/>
            <w:vAlign w:val="center"/>
          </w:tcPr>
          <w:p>
            <w:pPr>
              <w:widowControl/>
              <w:spacing w:line="240" w:lineRule="auto"/>
              <w:ind w:firstLine="0" w:firstLineChars="0"/>
              <w:jc w:val="center"/>
              <w:rPr>
                <w:rFonts w:hint="default" w:eastAsia="宋体" w:cs="Times New Roman"/>
                <w:kern w:val="0"/>
                <w:sz w:val="21"/>
                <w:szCs w:val="21"/>
                <w:lang w:val="en-US" w:eastAsia="zh-CN"/>
              </w:rPr>
            </w:pPr>
            <w:r>
              <w:rPr>
                <w:rFonts w:hint="eastAsia" w:cs="Times New Roman"/>
                <w:kern w:val="0"/>
                <w:sz w:val="21"/>
                <w:szCs w:val="21"/>
                <w:lang w:val="en-US" w:eastAsia="zh-CN"/>
              </w:rPr>
              <w:t>19</w:t>
            </w:r>
          </w:p>
        </w:tc>
        <w:tc>
          <w:tcPr>
            <w:tcW w:w="1522" w:type="pct"/>
            <w:shd w:val="clear" w:color="auto" w:fill="auto"/>
            <w:noWrap/>
            <w:vAlign w:val="center"/>
          </w:tcPr>
          <w:p>
            <w:pPr>
              <w:widowControl/>
              <w:spacing w:line="240" w:lineRule="auto"/>
              <w:ind w:firstLine="0" w:firstLineChars="0"/>
              <w:jc w:val="center"/>
              <w:rPr>
                <w:rFonts w:hint="default" w:eastAsia="宋体" w:cs="Times New Roman"/>
                <w:kern w:val="0"/>
                <w:sz w:val="21"/>
                <w:szCs w:val="21"/>
                <w:lang w:val="en-US" w:eastAsia="zh-CN"/>
              </w:rPr>
            </w:pPr>
            <w:r>
              <w:rPr>
                <w:rFonts w:hint="eastAsia" w:cs="Times New Roman"/>
                <w:kern w:val="0"/>
                <w:sz w:val="21"/>
                <w:szCs w:val="21"/>
                <w:lang w:val="en-US" w:eastAsia="zh-CN"/>
              </w:rPr>
              <w:t>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trPr>
        <w:tc>
          <w:tcPr>
            <w:tcW w:w="358" w:type="pct"/>
            <w:shd w:val="clear" w:color="auto" w:fill="auto"/>
            <w:noWrap/>
            <w:vAlign w:val="center"/>
          </w:tcPr>
          <w:p>
            <w:pPr>
              <w:widowControl/>
              <w:spacing w:line="240" w:lineRule="auto"/>
              <w:ind w:firstLine="0" w:firstLineChars="0"/>
              <w:jc w:val="center"/>
              <w:rPr>
                <w:rFonts w:hint="eastAsia" w:eastAsia="宋体" w:cs="Times New Roman"/>
                <w:kern w:val="0"/>
                <w:sz w:val="21"/>
                <w:szCs w:val="21"/>
                <w:lang w:val="en-US" w:eastAsia="zh-CN"/>
              </w:rPr>
            </w:pPr>
            <w:r>
              <w:rPr>
                <w:rFonts w:hint="eastAsia" w:cs="Times New Roman"/>
                <w:kern w:val="0"/>
                <w:sz w:val="21"/>
                <w:szCs w:val="21"/>
                <w:lang w:val="en-US" w:eastAsia="zh-CN"/>
              </w:rPr>
              <w:t>5</w:t>
            </w:r>
          </w:p>
        </w:tc>
        <w:tc>
          <w:tcPr>
            <w:tcW w:w="598" w:type="pct"/>
            <w:vAlign w:val="center"/>
          </w:tcPr>
          <w:p>
            <w:pPr>
              <w:widowControl/>
              <w:spacing w:line="240" w:lineRule="auto"/>
              <w:ind w:firstLine="0" w:firstLineChars="0"/>
              <w:jc w:val="center"/>
              <w:rPr>
                <w:rFonts w:hint="eastAsia" w:eastAsia="宋体" w:cs="Times New Roman"/>
                <w:sz w:val="21"/>
                <w:szCs w:val="21"/>
                <w:lang w:eastAsia="zh-CN"/>
              </w:rPr>
            </w:pPr>
            <w:r>
              <w:rPr>
                <w:rFonts w:hint="eastAsia" w:cs="Times New Roman"/>
                <w:sz w:val="21"/>
                <w:szCs w:val="21"/>
                <w:lang w:eastAsia="zh-CN"/>
              </w:rPr>
              <w:t>冯家川乡</w:t>
            </w:r>
          </w:p>
        </w:tc>
        <w:tc>
          <w:tcPr>
            <w:tcW w:w="641" w:type="pct"/>
            <w:shd w:val="clear" w:color="auto" w:fill="auto"/>
            <w:noWrap/>
            <w:vAlign w:val="center"/>
          </w:tcPr>
          <w:p>
            <w:pPr>
              <w:widowControl/>
              <w:spacing w:line="240" w:lineRule="auto"/>
              <w:ind w:firstLine="0" w:firstLineChars="0"/>
              <w:jc w:val="center"/>
              <w:rPr>
                <w:rFonts w:hint="eastAsia" w:eastAsia="宋体" w:cs="Times New Roman"/>
                <w:sz w:val="21"/>
                <w:szCs w:val="21"/>
                <w:lang w:eastAsia="zh-CN"/>
              </w:rPr>
            </w:pPr>
            <w:r>
              <w:rPr>
                <w:rFonts w:hint="eastAsia" w:cs="Times New Roman"/>
                <w:sz w:val="21"/>
                <w:szCs w:val="21"/>
                <w:lang w:eastAsia="zh-CN"/>
              </w:rPr>
              <w:t>神山村</w:t>
            </w:r>
          </w:p>
        </w:tc>
        <w:tc>
          <w:tcPr>
            <w:tcW w:w="721" w:type="pct"/>
            <w:vAlign w:val="center"/>
          </w:tcPr>
          <w:p>
            <w:pPr>
              <w:widowControl/>
              <w:spacing w:line="240" w:lineRule="auto"/>
              <w:ind w:firstLine="0" w:firstLineChars="0"/>
              <w:jc w:val="center"/>
              <w:rPr>
                <w:rFonts w:hint="default" w:eastAsia="宋体" w:cs="Times New Roman"/>
                <w:kern w:val="0"/>
                <w:sz w:val="21"/>
                <w:szCs w:val="21"/>
                <w:lang w:val="en-US" w:eastAsia="zh-CN"/>
              </w:rPr>
            </w:pPr>
            <w:r>
              <w:rPr>
                <w:rFonts w:hint="eastAsia" w:cs="Times New Roman"/>
                <w:kern w:val="0"/>
                <w:sz w:val="21"/>
                <w:szCs w:val="21"/>
                <w:lang w:val="en-US" w:eastAsia="zh-CN"/>
              </w:rPr>
              <w:t>25</w:t>
            </w:r>
          </w:p>
        </w:tc>
        <w:tc>
          <w:tcPr>
            <w:tcW w:w="631" w:type="pct"/>
            <w:vMerge w:val="continue"/>
            <w:vAlign w:val="center"/>
          </w:tcPr>
          <w:p>
            <w:pPr>
              <w:widowControl/>
              <w:spacing w:line="240" w:lineRule="auto"/>
              <w:ind w:firstLine="0" w:firstLineChars="0"/>
              <w:jc w:val="center"/>
              <w:rPr>
                <w:rFonts w:cs="Times New Roman"/>
                <w:kern w:val="0"/>
                <w:sz w:val="21"/>
                <w:szCs w:val="21"/>
              </w:rPr>
            </w:pPr>
          </w:p>
        </w:tc>
        <w:tc>
          <w:tcPr>
            <w:tcW w:w="524" w:type="pct"/>
            <w:vAlign w:val="center"/>
          </w:tcPr>
          <w:p>
            <w:pPr>
              <w:widowControl/>
              <w:spacing w:line="240" w:lineRule="auto"/>
              <w:ind w:firstLine="0" w:firstLineChars="0"/>
              <w:jc w:val="center"/>
              <w:rPr>
                <w:rFonts w:hint="default" w:eastAsia="宋体" w:cs="Times New Roman"/>
                <w:kern w:val="0"/>
                <w:sz w:val="21"/>
                <w:szCs w:val="21"/>
                <w:lang w:val="en-US" w:eastAsia="zh-CN"/>
              </w:rPr>
            </w:pPr>
            <w:r>
              <w:rPr>
                <w:rFonts w:hint="eastAsia" w:cs="Times New Roman"/>
                <w:kern w:val="0"/>
                <w:sz w:val="21"/>
                <w:szCs w:val="21"/>
                <w:lang w:val="en-US" w:eastAsia="zh-CN"/>
              </w:rPr>
              <w:t>20</w:t>
            </w:r>
          </w:p>
        </w:tc>
        <w:tc>
          <w:tcPr>
            <w:tcW w:w="1522" w:type="pct"/>
            <w:shd w:val="clear" w:color="auto" w:fill="auto"/>
            <w:noWrap/>
            <w:vAlign w:val="center"/>
          </w:tcPr>
          <w:p>
            <w:pPr>
              <w:widowControl/>
              <w:spacing w:line="240" w:lineRule="auto"/>
              <w:ind w:firstLine="0" w:firstLineChars="0"/>
              <w:jc w:val="center"/>
              <w:rPr>
                <w:rFonts w:hint="default" w:eastAsia="宋体" w:cs="Times New Roman"/>
                <w:kern w:val="0"/>
                <w:sz w:val="21"/>
                <w:szCs w:val="21"/>
                <w:lang w:val="en-US" w:eastAsia="zh-CN"/>
              </w:rPr>
            </w:pPr>
            <w:r>
              <w:rPr>
                <w:rFonts w:hint="eastAsia" w:cs="Times New Roman"/>
                <w:kern w:val="0"/>
                <w:sz w:val="21"/>
                <w:szCs w:val="21"/>
                <w:lang w:val="en-US" w:eastAsia="zh-CN"/>
              </w:rPr>
              <w:t>0.456</w:t>
            </w:r>
          </w:p>
        </w:tc>
      </w:tr>
    </w:tbl>
    <w:p>
      <w:pPr>
        <w:pStyle w:val="7"/>
        <w:rPr>
          <w:rFonts w:ascii="Times New Roman" w:hAnsi="Times New Roman" w:cs="Times New Roman"/>
        </w:rPr>
      </w:pPr>
      <w:bookmarkStart w:id="47" w:name="_Toc43848819"/>
      <w:r>
        <w:rPr>
          <w:rFonts w:ascii="Times New Roman" w:hAnsi="Times New Roman" w:cs="Times New Roman"/>
        </w:rPr>
        <w:t>5.5 设施布局</w:t>
      </w:r>
      <w:bookmarkEnd w:id="47"/>
    </w:p>
    <w:p>
      <w:pPr>
        <w:ind w:firstLine="480"/>
        <w:rPr>
          <w:rFonts w:cs="Times New Roman"/>
        </w:rPr>
      </w:pPr>
      <w:r>
        <w:rPr>
          <w:rFonts w:cs="Times New Roman"/>
        </w:rPr>
        <w:t>对于集中式农村生活污水治理，依据以下原则，结合地形分布，选择适宜的污水处理设施位置，设施的建设应按规划期规模控制和节约用地。</w:t>
      </w:r>
    </w:p>
    <w:p>
      <w:pPr>
        <w:ind w:firstLine="480" w:firstLineChars="0"/>
        <w:rPr>
          <w:rFonts w:cs="Times New Roman"/>
        </w:rPr>
      </w:pPr>
      <w:r>
        <w:rPr>
          <w:rFonts w:cs="Times New Roman"/>
        </w:rPr>
        <w:t>①新建农村生活污水处理设施选址应远离饮用水水源保护区；</w:t>
      </w:r>
    </w:p>
    <w:p>
      <w:pPr>
        <w:ind w:firstLine="480" w:firstLineChars="0"/>
        <w:rPr>
          <w:rFonts w:cs="Times New Roman"/>
        </w:rPr>
      </w:pPr>
      <w:r>
        <w:rPr>
          <w:rFonts w:cs="Times New Roman"/>
        </w:rPr>
        <w:t>②不宜设置在低洼易涝区和饮用水源的上游，并考虑卫生防护距离要求；</w:t>
      </w:r>
    </w:p>
    <w:p>
      <w:pPr>
        <w:ind w:firstLine="480" w:firstLineChars="0"/>
        <w:rPr>
          <w:rFonts w:cs="Times New Roman"/>
        </w:rPr>
      </w:pPr>
      <w:r>
        <w:rPr>
          <w:rFonts w:cs="Times New Roman"/>
        </w:rPr>
        <w:t>③设施建设宜优先利用废旧河道、坑塘、沟谷、荒地等闲置土地。</w:t>
      </w:r>
    </w:p>
    <w:p>
      <w:pPr>
        <w:ind w:firstLine="480"/>
        <w:rPr>
          <w:rFonts w:cs="Times New Roman"/>
        </w:rPr>
      </w:pPr>
      <w:r>
        <w:rPr>
          <w:rFonts w:cs="Times New Roman"/>
        </w:rPr>
        <w:t>保德县集中供水水源地分布图见附图。</w:t>
      </w:r>
    </w:p>
    <w:p>
      <w:pPr>
        <w:ind w:firstLine="480"/>
        <w:rPr>
          <w:rFonts w:cs="Times New Roman"/>
        </w:rPr>
      </w:pPr>
      <w:r>
        <w:rPr>
          <w:rFonts w:cs="Times New Roman"/>
        </w:rPr>
        <w:t>分散治理设施建于常年有人居住的家户院子内。因保德县村庄众多，每个村庄地势坡度条件和住房空间分布等情况不一，在缺少村庄地形勘测和人口分布数据下，本规划依据地形数据和实地调研，指出了每个治理村庄的污水处理设施位置，但难以保证每个设施的位置都是准确无误的，后续在设施建设时，可由建设单位在开工建设前组织开展相关工作，因地制宜地选择设施建设位置。</w:t>
      </w:r>
    </w:p>
    <w:p>
      <w:pPr>
        <w:pStyle w:val="7"/>
        <w:rPr>
          <w:rFonts w:ascii="Times New Roman" w:hAnsi="Times New Roman" w:cs="Times New Roman"/>
        </w:rPr>
      </w:pPr>
      <w:bookmarkStart w:id="48" w:name="_Toc43848820"/>
      <w:r>
        <w:rPr>
          <w:rFonts w:ascii="Times New Roman" w:hAnsi="Times New Roman" w:cs="Times New Roman"/>
        </w:rPr>
        <w:t>5.6 固体废物处理处置</w:t>
      </w:r>
      <w:bookmarkEnd w:id="48"/>
    </w:p>
    <w:p>
      <w:pPr>
        <w:ind w:firstLine="480"/>
        <w:rPr>
          <w:rFonts w:cs="Times New Roman"/>
        </w:rPr>
      </w:pPr>
      <w:r>
        <w:rPr>
          <w:rFonts w:cs="Times New Roman"/>
        </w:rPr>
        <w:t>污水处理设施运行中会产生残渣、污泥等固体废物。如果固体废物一直在系统中会造成系统崩溃，因此需要对其进行妥善的处理和处置。根据当地条件选择农村适宜的固体废物处理与处置方式，满足资源化要求的污泥，宜优先资源化利用。</w:t>
      </w:r>
    </w:p>
    <w:p>
      <w:pPr>
        <w:ind w:firstLine="480"/>
        <w:rPr>
          <w:rFonts w:cs="Times New Roman"/>
        </w:rPr>
      </w:pPr>
      <w:r>
        <w:rPr>
          <w:rFonts w:cs="Times New Roman"/>
        </w:rPr>
        <w:t>1、分散处理</w:t>
      </w:r>
    </w:p>
    <w:p>
      <w:pPr>
        <w:ind w:firstLine="480"/>
        <w:rPr>
          <w:rFonts w:cs="Times New Roman"/>
        </w:rPr>
      </w:pPr>
      <w:r>
        <w:rPr>
          <w:rFonts w:cs="Times New Roman"/>
        </w:rPr>
        <w:t>分散处理设施中会产生残渣、污泥等</w:t>
      </w:r>
      <w:r>
        <w:rPr>
          <w:rFonts w:cs="Times New Roman"/>
          <w:bCs/>
        </w:rPr>
        <w:t>。</w:t>
      </w:r>
      <w:r>
        <w:rPr>
          <w:rFonts w:cs="Times New Roman"/>
        </w:rPr>
        <w:t>残渣、废物等可与垃圾一并处理。小型分散处理系统规模较小，产生的污泥量也较少，该处理规模下的污泥从污水处理设施排出后可以不处理，经过简单堆肥直接用作农田肥料施用。采用好氧堆肥处理时，堆肥时间宜在15d以上，堆肥温度宜保持5℃状态3d以上或50℃状态10d以上；采用厌氧堆肥时间宜在90d～180d，温度接近常温；机械化厌氧堆肥宜保持中温30℃～40℃和高温50℃～55℃，时间宜保持15d～20d。</w:t>
      </w:r>
    </w:p>
    <w:p>
      <w:pPr>
        <w:ind w:firstLine="480"/>
        <w:rPr>
          <w:rFonts w:cs="Times New Roman"/>
        </w:rPr>
      </w:pPr>
      <w:r>
        <w:rPr>
          <w:rFonts w:cs="Times New Roman"/>
        </w:rPr>
        <w:t>2、集中处理</w:t>
      </w:r>
    </w:p>
    <w:p>
      <w:pPr>
        <w:ind w:firstLine="480"/>
        <w:rPr>
          <w:rFonts w:cs="Times New Roman"/>
        </w:rPr>
      </w:pPr>
      <w:r>
        <w:rPr>
          <w:rFonts w:cs="Times New Roman"/>
        </w:rPr>
        <w:t>污水处理设施建成后，需要定期清理格栅和沉淀池沉积物，且每年需对人工湿地的植物进行收割，清理的杂物可与人畜粪便共同堆肥后回用于农田。</w:t>
      </w:r>
    </w:p>
    <w:p>
      <w:pPr>
        <w:ind w:firstLine="480"/>
        <w:rPr>
          <w:rFonts w:cs="Times New Roman"/>
        </w:rPr>
      </w:pPr>
      <w:r>
        <w:rPr>
          <w:rFonts w:cs="Times New Roman"/>
        </w:rPr>
        <w:t>当设施产生的污泥量较少时，可将污泥返回到化粪池或厌氧池等污水处理设施中进行存储，定期外排。污泥量较多时，宜增设污泥处理设施，污泥处理设施可单独与污水处理设施合建，也可多个污水处理设施合用污泥处理设施。鼓励对污泥进行资源化利用，用于农田的，相关控制指标应满足《农用污泥污染物控制标准》（GB 4284-2018）规定；用于园林绿化的，相关控制指标应满足《城镇污水处理厂污泥处置园林绿化用泥质》（GB/T 23486-2009）规定；用于林业的，相关控制指标应满足《城镇污水处理厂污泥处置林地用泥质》（CJ/T 362-2011）规定；用于土地改良的，相关控制指标应满足《城镇污水处理厂污泥处置土地改良用泥质》（GB/T 24600-2009）规定；用于其他用途时，按照相应标准执行。</w:t>
      </w:r>
    </w:p>
    <w:p>
      <w:pPr>
        <w:ind w:firstLine="480"/>
        <w:rPr>
          <w:rFonts w:cs="Times New Roman"/>
        </w:rPr>
      </w:pPr>
      <w:r>
        <w:rPr>
          <w:rFonts w:cs="Times New Roman"/>
        </w:rPr>
        <w:t>考虑到保德县集中治理村庄的规模相对较小，产生的污泥量较少。污泥中的污染物浓度高，含有大量的微生物，需要进行合理的处理处置，而污泥处理处置设施建设运行费用较高，因此产生的污泥量较少时，可将污泥送至畜禽粪便处理设施或城镇污泥处理中心进行处理。</w:t>
      </w:r>
    </w:p>
    <w:p>
      <w:pPr>
        <w:pStyle w:val="7"/>
        <w:rPr>
          <w:rFonts w:ascii="Times New Roman" w:hAnsi="Times New Roman" w:cs="Times New Roman"/>
        </w:rPr>
      </w:pPr>
      <w:bookmarkStart w:id="49" w:name="_Toc43848821"/>
      <w:r>
        <w:rPr>
          <w:rFonts w:ascii="Times New Roman" w:hAnsi="Times New Roman" w:cs="Times New Roman"/>
        </w:rPr>
        <w:t>5.7 验收移交</w:t>
      </w:r>
      <w:bookmarkEnd w:id="49"/>
    </w:p>
    <w:p>
      <w:pPr>
        <w:ind w:firstLine="480"/>
        <w:rPr>
          <w:rFonts w:cs="Times New Roman"/>
        </w:rPr>
      </w:pPr>
      <w:r>
        <w:rPr>
          <w:rFonts w:cs="Times New Roman"/>
        </w:rPr>
        <w:t>本次规划治理的1</w:t>
      </w:r>
      <w:r>
        <w:rPr>
          <w:rFonts w:hint="eastAsia" w:cs="Times New Roman"/>
          <w:lang w:val="en-US" w:eastAsia="zh-CN"/>
        </w:rPr>
        <w:t>1</w:t>
      </w:r>
      <w:r>
        <w:rPr>
          <w:rFonts w:cs="Times New Roman"/>
        </w:rPr>
        <w:t>个村庄，东关镇铁匠铺村、郭家滩村、马家</w:t>
      </w:r>
      <w:r>
        <w:rPr>
          <w:rFonts w:hint="eastAsia" w:cs="Times New Roman"/>
          <w:lang w:eastAsia="zh-CN"/>
        </w:rPr>
        <w:t>滩</w:t>
      </w:r>
      <w:r>
        <w:rPr>
          <w:rFonts w:cs="Times New Roman"/>
        </w:rPr>
        <w:t>村、王家滩村</w:t>
      </w:r>
      <w:r>
        <w:rPr>
          <w:rFonts w:hint="eastAsia" w:cs="Times New Roman"/>
          <w:lang w:eastAsia="zh-CN"/>
        </w:rPr>
        <w:t>张家圪坨村</w:t>
      </w:r>
      <w:r>
        <w:rPr>
          <w:rFonts w:cs="Times New Roman"/>
        </w:rPr>
        <w:t>污水纳入城镇污水管网，工程以建设污水管网为主，应遵循相应的管道施工与验收规定，其余村庄应遵循相关的材料、管道、构筑物、设备的施工与验收规定。</w:t>
      </w:r>
    </w:p>
    <w:p>
      <w:pPr>
        <w:pStyle w:val="8"/>
        <w:rPr>
          <w:rFonts w:ascii="Times New Roman" w:hAnsi="Times New Roman" w:cs="Times New Roman"/>
        </w:rPr>
      </w:pPr>
      <w:r>
        <w:rPr>
          <w:rFonts w:ascii="Times New Roman" w:hAnsi="Times New Roman" w:cs="Times New Roman"/>
        </w:rPr>
        <w:t>5.7.1 一般规定</w:t>
      </w:r>
    </w:p>
    <w:p>
      <w:pPr>
        <w:ind w:firstLine="480"/>
        <w:rPr>
          <w:rFonts w:cs="Times New Roman"/>
        </w:rPr>
      </w:pPr>
      <w:r>
        <w:rPr>
          <w:rFonts w:cs="Times New Roman"/>
        </w:rPr>
        <w:t>农村生活污水处理设施建设既要保证工程质量合格，也要保证出水水质达标。工程验收后，建设及管理部门应妥善保管竣工图等相关资料，以备查验。环保验收和运维移交应确保水质水量、工艺、规模与设计相符，设备材料完整。</w:t>
      </w:r>
    </w:p>
    <w:p>
      <w:pPr>
        <w:ind w:firstLine="480"/>
        <w:rPr>
          <w:rFonts w:cs="Times New Roman"/>
        </w:rPr>
      </w:pPr>
      <w:r>
        <w:rPr>
          <w:rFonts w:cs="Times New Roman"/>
        </w:rPr>
        <w:t>（1）根据施工内容要求，施工单位应取得相应的资质，应遵守国家有关部门颁布的劳动安全及卫生、消防等国家强制性标准。</w:t>
      </w:r>
    </w:p>
    <w:p>
      <w:pPr>
        <w:ind w:firstLine="480"/>
        <w:rPr>
          <w:rFonts w:cs="Times New Roman"/>
        </w:rPr>
      </w:pPr>
      <w:r>
        <w:rPr>
          <w:rFonts w:cs="Times New Roman"/>
        </w:rPr>
        <w:t>（2）施工中使用的设备、材料、器件等应符合相关的国家标准和设计要求，并取得产品合格证。</w:t>
      </w:r>
    </w:p>
    <w:p>
      <w:pPr>
        <w:ind w:firstLine="480"/>
        <w:rPr>
          <w:rFonts w:cs="Times New Roman"/>
        </w:rPr>
      </w:pPr>
      <w:r>
        <w:rPr>
          <w:rFonts w:cs="Times New Roman"/>
        </w:rPr>
        <w:t>（3）农村生活污水处理设施构筑物、管道、设备的施工和验收应符合相关标准的要求。构筑物的施工与验收应符合《给水排水构筑物工程施工及验收规范》（GB 50141-2008）的规定。管道的施工与验收应符合《给水排水管道工程施工及验收规范》（GB 50268-2008）的规定。设备的施工可按《城镇污水处理厂工程施工规范》（GB 51221-2017）的规定，验收可按《城镇污水处理厂工程质量验收规范》（GB 50334-2017）的规定。</w:t>
      </w:r>
    </w:p>
    <w:p>
      <w:pPr>
        <w:ind w:firstLine="480"/>
        <w:rPr>
          <w:rFonts w:cs="Times New Roman"/>
        </w:rPr>
      </w:pPr>
      <w:r>
        <w:rPr>
          <w:rFonts w:cs="Times New Roman"/>
        </w:rPr>
        <w:t>（4）工程竣验收后，建设单位应将设计、施工和验收的文件归档。</w:t>
      </w:r>
    </w:p>
    <w:p>
      <w:pPr>
        <w:pStyle w:val="8"/>
        <w:rPr>
          <w:rFonts w:ascii="Times New Roman" w:hAnsi="Times New Roman" w:cs="Times New Roman"/>
        </w:rPr>
      </w:pPr>
      <w:r>
        <w:rPr>
          <w:rFonts w:ascii="Times New Roman" w:hAnsi="Times New Roman" w:cs="Times New Roman"/>
        </w:rPr>
        <w:t>5.7.2 材料施工与验收</w:t>
      </w:r>
    </w:p>
    <w:p>
      <w:pPr>
        <w:ind w:firstLine="480"/>
        <w:rPr>
          <w:rFonts w:cs="Times New Roman"/>
        </w:rPr>
      </w:pPr>
      <w:r>
        <w:rPr>
          <w:rFonts w:cs="Times New Roman"/>
        </w:rPr>
        <w:t>（1）原材料主要包括钢筋、混凝土、砂浆、水泥、砖、料石和管道等，原材料品种与强度等级的选用应根据设计、施工要求以及工程所处环境确定。</w:t>
      </w:r>
    </w:p>
    <w:p>
      <w:pPr>
        <w:ind w:firstLine="480"/>
        <w:rPr>
          <w:rFonts w:cs="Times New Roman"/>
        </w:rPr>
      </w:pPr>
      <w:r>
        <w:rPr>
          <w:rFonts w:cs="Times New Roman"/>
        </w:rPr>
        <w:t>（2）排水构筑物所用的原材料、半成品、成品等产品的品种、规格、性能必须符合国家有关标准的规定和设计要求，需有产品的合格证书、产品性能检测报告。严禁使用国家命令淘汰的材料。</w:t>
      </w:r>
    </w:p>
    <w:p>
      <w:pPr>
        <w:ind w:firstLine="480"/>
        <w:rPr>
          <w:rFonts w:cs="Times New Roman"/>
        </w:rPr>
      </w:pPr>
      <w:r>
        <w:rPr>
          <w:rFonts w:cs="Times New Roman"/>
        </w:rPr>
        <w:t>（3）工程所用主要材料、半成品、构（配）件等，进入施工现场时必须进行进场验收，重要材料进场前需进行复检。进场验收时应检查每批产品的订购合同、质量合格保证书、性能检验报告等。重要材料按国家有关规定进行复验，验收后方可使用。混凝土、砂浆等现场配置的材料应经检测合格后使用。混凝土性能测试，混凝土的力学、耐久性、长期性能均需满足《混凝土质量控制标准》（GB 50164-2011）有关要求。涉及结构安全的试块、试件以及有关材料，应按规定进行见证取样检测。</w:t>
      </w:r>
    </w:p>
    <w:p>
      <w:pPr>
        <w:ind w:firstLine="480"/>
        <w:rPr>
          <w:rFonts w:cs="Times New Roman"/>
        </w:rPr>
      </w:pPr>
      <w:r>
        <w:rPr>
          <w:rFonts w:cs="Times New Roman"/>
        </w:rPr>
        <w:t>（4）所用钢筋的种类、钢号、直径符合设计要求；对钢筋的外观要进行检查，钢筋的表面应洁净，不得有污垢，必须平直，弯曲后，不得有裂纹、裂缝现象。</w:t>
      </w:r>
    </w:p>
    <w:p>
      <w:pPr>
        <w:ind w:firstLine="480"/>
        <w:rPr>
          <w:rFonts w:cs="Times New Roman"/>
        </w:rPr>
      </w:pPr>
      <w:r>
        <w:rPr>
          <w:rFonts w:cs="Times New Roman"/>
        </w:rPr>
        <w:t>（5）核对水泥的标号、编号、出厂日期，检查水泥的质量保证证明；水泥要有专人保管，先进先出，露天放置要有垫有盖。</w:t>
      </w:r>
    </w:p>
    <w:p>
      <w:pPr>
        <w:ind w:firstLine="480"/>
        <w:rPr>
          <w:rFonts w:cs="Times New Roman"/>
        </w:rPr>
      </w:pPr>
      <w:r>
        <w:rPr>
          <w:rFonts w:cs="Times New Roman"/>
        </w:rPr>
        <w:t>（6）检查砖的出场合格证及试验报告；砖的品种、强度等级、耐久性、外形尺寸、外观质量必须符合设计要求，并应规格一致；施工前要提前浇水湿润，含水率宜10%～15%。</w:t>
      </w:r>
    </w:p>
    <w:p>
      <w:pPr>
        <w:ind w:firstLine="480"/>
        <w:rPr>
          <w:rFonts w:cs="Times New Roman"/>
        </w:rPr>
      </w:pPr>
      <w:r>
        <w:rPr>
          <w:rFonts w:cs="Times New Roman"/>
        </w:rPr>
        <w:t>（7）料石应该质地坚实，无风化剥落、裂纹；料石表面要求平整，尺寸符合规格；料石表面在使用前应清除泥垢、水锈等杂质。</w:t>
      </w:r>
    </w:p>
    <w:p>
      <w:pPr>
        <w:ind w:firstLine="480"/>
        <w:rPr>
          <w:rFonts w:cs="Times New Roman"/>
        </w:rPr>
      </w:pPr>
      <w:r>
        <w:rPr>
          <w:rFonts w:cs="Times New Roman"/>
        </w:rPr>
        <w:t>（8）检查管材、管件的质量检验合格证，管材表面应标明生产厂家、公称外径、壁厚、公称压力等级，管件表面应标明规格、公称压力等级；管材、管件的外观的颜色一致，内外表面应光滑、平整、无明显痕纹，管材端口平整，管件应无缺损变形，浇口应平整；管材、管件在运输、装卸和搬运时候应小心轻放，排列整齐，不得受尖锐物品碰撞。</w:t>
      </w:r>
    </w:p>
    <w:p>
      <w:pPr>
        <w:pStyle w:val="8"/>
        <w:rPr>
          <w:rFonts w:ascii="Times New Roman" w:hAnsi="Times New Roman" w:cs="Times New Roman"/>
        </w:rPr>
      </w:pPr>
      <w:r>
        <w:rPr>
          <w:rFonts w:ascii="Times New Roman" w:hAnsi="Times New Roman" w:cs="Times New Roman"/>
        </w:rPr>
        <w:t>5.7.3 管道施工与验收</w:t>
      </w:r>
    </w:p>
    <w:p>
      <w:pPr>
        <w:ind w:firstLine="480"/>
        <w:rPr>
          <w:rFonts w:cs="Times New Roman"/>
        </w:rPr>
      </w:pPr>
      <w:r>
        <w:rPr>
          <w:rFonts w:cs="Times New Roman"/>
        </w:rPr>
        <w:t>（1）管道施工前，施工单位应按照合同文件、设计文件和有关规范、标准要求，结合当地的水文地质资料，组织施工技术管理人员沿线调查，掌握实际情况，做好施工准备。</w:t>
      </w:r>
    </w:p>
    <w:p>
      <w:pPr>
        <w:ind w:firstLine="480"/>
        <w:rPr>
          <w:rFonts w:cs="Times New Roman"/>
        </w:rPr>
      </w:pPr>
      <w:r>
        <w:rPr>
          <w:rFonts w:cs="Times New Roman"/>
        </w:rPr>
        <w:t>（2）工程所用的管材、管道附件、构/配件等进入施工现场时必须进行进场验收，检查产品的订购合同、质量合格证书、性能检验报告、使用说明书等，并按照现行国家规定进行复验，验收合格后方可使用。产品及产品的合格证书、检验证书需妥善保管，以待监管部门随时检查。</w:t>
      </w:r>
    </w:p>
    <w:p>
      <w:pPr>
        <w:ind w:firstLine="480"/>
        <w:rPr>
          <w:rFonts w:cs="Times New Roman"/>
        </w:rPr>
      </w:pPr>
      <w:r>
        <w:rPr>
          <w:rFonts w:cs="Times New Roman"/>
        </w:rPr>
        <w:t>（3）管道的施工应根据土的种类、水文地质情况、施工方法、施工环境、支撑条件、管渠断面尺寸、管渠长度和管渠埋深等情况，选择沟槽的开挖断面；开挖断面可为直槽、梯形槽和混合槽等形式。</w:t>
      </w:r>
    </w:p>
    <w:p>
      <w:pPr>
        <w:ind w:firstLine="480"/>
        <w:rPr>
          <w:rFonts w:cs="Times New Roman"/>
        </w:rPr>
      </w:pPr>
      <w:r>
        <w:rPr>
          <w:rFonts w:cs="Times New Roman"/>
        </w:rPr>
        <w:t>（4）管道沟槽的开挖要求，开挖沟槽宽度、坡度、允许的偏差均需满足GB 50268规定。沟槽支护应符合现行国家标准《建筑地基基础工程施工质量验收规范》（GB 50202-2002）的相关规定。成品检查井坑与管道沟槽同时开挖，开挖时检查井井座主管线应与沟槽中管线在同一轴线，不得超挖。</w:t>
      </w:r>
    </w:p>
    <w:p>
      <w:pPr>
        <w:ind w:firstLine="480"/>
        <w:rPr>
          <w:rFonts w:cs="Times New Roman"/>
        </w:rPr>
      </w:pPr>
      <w:r>
        <w:rPr>
          <w:rFonts w:cs="Times New Roman"/>
        </w:rPr>
        <w:t>（5）管道的铺设：管节材料、规格、压力等级应符合设计要求，管节宜工厂预制。现场加工管表面无斑疤、裂纹、严重锈蚀等缺陷；焊缝外观质量应符合《给水排水管道工程施工及验收规范》（GB 50268-2008）规定，焊缝无损检验合格。交叉管道、管道连接、管道防腐需满足《给水排水管道工程施工及验收规范》（GB 50268-2008）规定。管道连接时，应适当增加管件的承深度，能有效的增加其与管材的结合强度，提高管道使用的可靠性；安装前，应对管口和承口表面进行检查，清除管材管件的内外污垢和杂物。成品检查井应采用非金属绳索系扣安放。可用人工缓慢溜放（或用机械起吊）的方式送至沟槽内。</w:t>
      </w:r>
    </w:p>
    <w:p>
      <w:pPr>
        <w:ind w:firstLine="480"/>
        <w:rPr>
          <w:rFonts w:cs="Times New Roman"/>
        </w:rPr>
      </w:pPr>
      <w:r>
        <w:rPr>
          <w:rFonts w:cs="Times New Roman"/>
        </w:rPr>
        <w:t>（6）管道间连接：管道接口应依管材类型决定，塑料管材的接口，应采用弹性密封橡胶圈连接的承插式或套筒式柔性接口，此种方式快、密封性能好。在现场能确保粘接效果的条件下，对公称直径DN 200mm以下的直壁管亦可采用插入式粘接接口。橡胶圈接口应符合《给水排水管道工程施工及验收规范》（GB 50268-2008）要求。</w:t>
      </w:r>
    </w:p>
    <w:p>
      <w:pPr>
        <w:ind w:firstLine="480"/>
        <w:rPr>
          <w:rFonts w:cs="Times New Roman"/>
        </w:rPr>
      </w:pPr>
      <w:r>
        <w:rPr>
          <w:rFonts w:cs="Times New Roman"/>
        </w:rPr>
        <w:t>（7）管道与检查井连接：检查井井座与管道以井－管－井－管顺序安装；井座接头与管道连接施工办法，应与同类型接头的管道连接的施工办法一致；管道采用可变角接头或球形接头调整坡度时，应采用专用工具，不得用链条扳手。</w:t>
      </w:r>
    </w:p>
    <w:p>
      <w:pPr>
        <w:ind w:firstLine="480"/>
        <w:rPr>
          <w:rFonts w:cs="Times New Roman"/>
        </w:rPr>
      </w:pPr>
      <w:r>
        <w:rPr>
          <w:rFonts w:cs="Times New Roman"/>
        </w:rPr>
        <w:t>（8）管道的闭水、闭气试验：按规范要求进行压力管道的水压试验、无压管道的闭气/闭水试验。压力试验应在管线各分项检验合格后进行，试验前应检查各种管材、管件、支架应符合设计和施工验收规范要求；压力试验之前，管道应固定，街头应明露；压力试验选择合适的压力表。</w:t>
      </w:r>
    </w:p>
    <w:p>
      <w:pPr>
        <w:ind w:firstLine="480"/>
        <w:rPr>
          <w:rFonts w:cs="Times New Roman"/>
        </w:rPr>
      </w:pPr>
      <w:r>
        <w:rPr>
          <w:rFonts w:cs="Times New Roman"/>
        </w:rPr>
        <w:t>（9）沟槽的回填：管道闭气、闭水试验后，对沟槽回填。回填作业前沟槽内杂物需清除、无积水，不得带水回填。对有地下水影响的土方施工，根据《给水排水管道工程施工及验收规范》（GB 50268-2008）进行工程降排水施工。回填密实，回填土压实度应符合设计要求，设计无要求时，应符合《给水排水管道工程施工及验收规范》（GB 50268-2008）规定。</w:t>
      </w:r>
    </w:p>
    <w:p>
      <w:pPr>
        <w:pStyle w:val="8"/>
        <w:rPr>
          <w:rFonts w:ascii="Times New Roman" w:hAnsi="Times New Roman" w:cs="Times New Roman"/>
        </w:rPr>
      </w:pPr>
      <w:r>
        <w:rPr>
          <w:rFonts w:ascii="Times New Roman" w:hAnsi="Times New Roman" w:cs="Times New Roman"/>
        </w:rPr>
        <w:t>5.7.4 构筑物工程施工与验收</w:t>
      </w:r>
    </w:p>
    <w:p>
      <w:pPr>
        <w:pStyle w:val="9"/>
      </w:pPr>
      <w:r>
        <w:t>5.7.4.1 砖砌体水池</w:t>
      </w:r>
    </w:p>
    <w:p>
      <w:pPr>
        <w:ind w:firstLine="480"/>
        <w:rPr>
          <w:rFonts w:cs="Times New Roman"/>
        </w:rPr>
      </w:pPr>
      <w:r>
        <w:rPr>
          <w:rFonts w:cs="Times New Roman"/>
        </w:rPr>
        <w:t>（1）砖砌体水池的施工顺序及质量应符合《砌体工程施工质量验收规范》（GB 50203-2011）、《给水排水构筑物工程施工及验收规范》（GB 50141-2008）相关要求规定。</w:t>
      </w:r>
    </w:p>
    <w:p>
      <w:pPr>
        <w:ind w:firstLine="480"/>
        <w:rPr>
          <w:rFonts w:cs="Times New Roman"/>
        </w:rPr>
      </w:pPr>
      <w:r>
        <w:rPr>
          <w:rFonts w:cs="Times New Roman"/>
        </w:rPr>
        <w:t>（2）进入现场砖、石等砌块应符合现行国家标准《砌体结构工程施工质量验收规范》（GB 50203-2011）的相关规定。</w:t>
      </w:r>
    </w:p>
    <w:p>
      <w:pPr>
        <w:ind w:firstLine="480"/>
        <w:rPr>
          <w:rFonts w:cs="Times New Roman"/>
        </w:rPr>
      </w:pPr>
      <w:r>
        <w:rPr>
          <w:rFonts w:cs="Times New Roman"/>
        </w:rPr>
        <w:t>（3）砌体池壁时，砌体各砖层之间应上下错缝，内外搭砌，灰缝均匀一致。砖砌时砂浆应满铺满挤，挤出的砂浆应随时刮平，严禁用水冲浆灌缝，严禁用敲打砌体的方法纠正偏差。砌体中的预埋管洞口结构应加强，并做防渗措施。</w:t>
      </w:r>
    </w:p>
    <w:p>
      <w:pPr>
        <w:ind w:firstLine="480"/>
        <w:rPr>
          <w:rFonts w:cs="Times New Roman"/>
        </w:rPr>
      </w:pPr>
      <w:r>
        <w:rPr>
          <w:rFonts w:cs="Times New Roman"/>
        </w:rPr>
        <w:t>（4）当室外日平均气温连续5d 稳定低于5℃时，砌体工程应采取冬期施工措施。冬期施工所用材料应符合下列规定：石灰膏、电石膏等应防止受冻，如遭冻结，应经融化后使用；拌制砂浆用砂，不得含有冰块和大于10mm 的冻结块；砌体用砖或其他块材不得遭水浸冻。设置在潮湿环境或有化学侵蚀性介质的环境中的砌体灰缝内的钢筋应采取防腐措施。</w:t>
      </w:r>
    </w:p>
    <w:p>
      <w:pPr>
        <w:ind w:firstLine="480"/>
        <w:rPr>
          <w:rFonts w:cs="Times New Roman"/>
        </w:rPr>
      </w:pPr>
      <w:r>
        <w:rPr>
          <w:rFonts w:cs="Times New Roman"/>
        </w:rPr>
        <w:t>（5）对砖砌体工程验收时，需建设/施工单位提供以下材料：提供施工执行的技术标准；提供砌体工程所用材料的产品合格证书、产品性能检测报告。块材、水泥、钢筋、外加剂等应提供材料主要性能的进场复验报告；提供砖和砂浆的强度等级；提供混凝土及砂浆配合比通知单；提供施工记录；提供各检验批的主控项目、一般项目验收记录；提供施工质量控制资料，及其他必须提供的资料。</w:t>
      </w:r>
    </w:p>
    <w:p>
      <w:pPr>
        <w:ind w:firstLine="480"/>
        <w:rPr>
          <w:rFonts w:cs="Times New Roman"/>
        </w:rPr>
      </w:pPr>
      <w:r>
        <w:rPr>
          <w:rFonts w:cs="Times New Roman"/>
        </w:rPr>
        <w:t>（6）砌体工程验收时，对砌体工程的观感质量作出总体评价。</w:t>
      </w:r>
    </w:p>
    <w:p>
      <w:pPr>
        <w:ind w:firstLine="480"/>
        <w:rPr>
          <w:rFonts w:cs="Times New Roman"/>
        </w:rPr>
      </w:pPr>
      <w:r>
        <w:rPr>
          <w:rFonts w:cs="Times New Roman"/>
        </w:rPr>
        <w:t>（7）砌体工程质量不符合要求时，应按现行国家标准《建筑工程施工质量统一验收标准》（GB 50300-2013）规定执行。</w:t>
      </w:r>
    </w:p>
    <w:p>
      <w:pPr>
        <w:ind w:firstLine="480"/>
        <w:rPr>
          <w:rFonts w:cs="Times New Roman"/>
        </w:rPr>
      </w:pPr>
      <w:r>
        <w:rPr>
          <w:rFonts w:cs="Times New Roman"/>
        </w:rPr>
        <w:t>（8）对有裂缝的砌体验收可能影响结构安全性的砌体裂缝，需返修或加固处理的，待返修或加固满足使用要求后进行二次验收；对不影响结构安全性的砌体裂缝，应予以验收，明显影响使用功能和观感质量的裂缝，应进行处理。</w:t>
      </w:r>
    </w:p>
    <w:p>
      <w:pPr>
        <w:ind w:firstLine="480"/>
        <w:rPr>
          <w:rFonts w:cs="Times New Roman"/>
        </w:rPr>
      </w:pPr>
      <w:r>
        <w:rPr>
          <w:rFonts w:cs="Times New Roman"/>
        </w:rPr>
        <w:t>（9）施工验收时，建设单位应组织通水试运行，施工单位应在运行期内对工程质量承担保修责任。</w:t>
      </w:r>
    </w:p>
    <w:p>
      <w:pPr>
        <w:pStyle w:val="9"/>
      </w:pPr>
      <w:r>
        <w:t>5.7.4.2 钢筋砼池体</w:t>
      </w:r>
    </w:p>
    <w:p>
      <w:pPr>
        <w:ind w:firstLine="480"/>
        <w:rPr>
          <w:rFonts w:cs="Times New Roman"/>
        </w:rPr>
      </w:pPr>
      <w:r>
        <w:rPr>
          <w:rFonts w:cs="Times New Roman"/>
        </w:rPr>
        <w:t>（1）资料检查，包括原材料、构配件和器具等的产品合格证（中文质量合格证明文件、规格、型号及性能检测报告等）及进场复验报告、施工过程中重要工序的自检和交接检记录、抽样检验报告、见证检测报告、隐蔽工程验收记录等。</w:t>
      </w:r>
    </w:p>
    <w:p>
      <w:pPr>
        <w:ind w:firstLine="480"/>
        <w:rPr>
          <w:rFonts w:cs="Times New Roman"/>
        </w:rPr>
      </w:pPr>
      <w:r>
        <w:rPr>
          <w:rFonts w:cs="Times New Roman"/>
        </w:rPr>
        <w:t>（2）原材料、构配件和器具等产品的抽检，按进场的批次和产品的抽样检验方案执行。</w:t>
      </w:r>
    </w:p>
    <w:p>
      <w:pPr>
        <w:ind w:firstLine="480"/>
        <w:rPr>
          <w:rFonts w:cs="Times New Roman"/>
        </w:rPr>
      </w:pPr>
      <w:r>
        <w:rPr>
          <w:rFonts w:cs="Times New Roman"/>
        </w:rPr>
        <w:t>（3）混凝土试块的验收：混凝土强度、抗渗性能和抗腐蚀性能，预制构件结构性能等，按国家现行标准和规范规定的抽样方案执行。</w:t>
      </w:r>
    </w:p>
    <w:p>
      <w:pPr>
        <w:ind w:firstLine="480"/>
        <w:rPr>
          <w:rFonts w:cs="Times New Roman"/>
        </w:rPr>
      </w:pPr>
      <w:r>
        <w:rPr>
          <w:rFonts w:cs="Times New Roman"/>
        </w:rPr>
        <w:t>（4）污水处理构筑物的混凝土池壁与底板、壁板间湿接缝以及施工缝等的混凝土应密实、结合牢固。</w:t>
      </w:r>
    </w:p>
    <w:p>
      <w:pPr>
        <w:ind w:firstLine="480"/>
        <w:rPr>
          <w:rFonts w:cs="Times New Roman"/>
        </w:rPr>
      </w:pPr>
      <w:r>
        <w:rPr>
          <w:rFonts w:cs="Times New Roman"/>
        </w:rPr>
        <w:t>（5）检查钢筋砼池体结构外观质量，不宜有一般缺陷。</w:t>
      </w:r>
    </w:p>
    <w:p>
      <w:pPr>
        <w:ind w:firstLine="480"/>
        <w:rPr>
          <w:rFonts w:cs="Times New Roman"/>
        </w:rPr>
      </w:pPr>
      <w:r>
        <w:rPr>
          <w:rFonts w:cs="Times New Roman"/>
        </w:rPr>
        <w:t>（6）对钢筋砼池体进行满水试验，实验过程中，外观保持良好，沉降量是否在可接受规定范围内。消化池满水试验合格后，还应进行气密性试验。</w:t>
      </w:r>
    </w:p>
    <w:p>
      <w:pPr>
        <w:ind w:firstLine="480"/>
        <w:rPr>
          <w:rFonts w:cs="Times New Roman"/>
        </w:rPr>
      </w:pPr>
      <w:r>
        <w:rPr>
          <w:rFonts w:cs="Times New Roman"/>
        </w:rPr>
        <w:t>（7）污水处理构筑物处于地下水位较高时，施工时应根据当地实际情况采取抗浮措施。</w:t>
      </w:r>
    </w:p>
    <w:p>
      <w:pPr>
        <w:ind w:firstLine="480"/>
        <w:rPr>
          <w:rFonts w:cs="Times New Roman"/>
        </w:rPr>
      </w:pPr>
      <w:r>
        <w:rPr>
          <w:rFonts w:cs="Times New Roman"/>
        </w:rPr>
        <w:t>（8）施工验收时，建设单位应组织通水试运行，施工单位应在运行期内对工程质量承担保修责任。</w:t>
      </w:r>
    </w:p>
    <w:p>
      <w:pPr>
        <w:pStyle w:val="8"/>
        <w:rPr>
          <w:rFonts w:ascii="Times New Roman" w:hAnsi="Times New Roman" w:cs="Times New Roman"/>
        </w:rPr>
      </w:pPr>
      <w:r>
        <w:rPr>
          <w:rFonts w:ascii="Times New Roman" w:hAnsi="Times New Roman" w:cs="Times New Roman"/>
        </w:rPr>
        <w:t>5.7.5 设备施工与验收</w:t>
      </w:r>
    </w:p>
    <w:p>
      <w:pPr>
        <w:pStyle w:val="9"/>
      </w:pPr>
      <w:r>
        <w:t>5.7.5.1 污水处理成品设备施工和验收</w:t>
      </w:r>
    </w:p>
    <w:p>
      <w:pPr>
        <w:ind w:firstLine="480"/>
        <w:rPr>
          <w:rFonts w:cs="Times New Roman"/>
        </w:rPr>
      </w:pPr>
      <w:r>
        <w:rPr>
          <w:rFonts w:cs="Times New Roman"/>
        </w:rPr>
        <w:t>（1）基础施工按照《建筑地基基础工程施工质量验收标准》（GB 50202-2018）相关规定。施工时先根据设计施工图纸中标示的一体化设备的型号、位置，确定开挖的基槽尺寸。由于污水处理设备主体选用塑料材质的产品，虽然有很强的表面耐压强度，但对石头或金属器具等突起物的集中负重承受能力很差，因此需避开地下石块较多位置。</w:t>
      </w:r>
    </w:p>
    <w:p>
      <w:pPr>
        <w:ind w:firstLine="480"/>
        <w:rPr>
          <w:rFonts w:cs="Times New Roman"/>
        </w:rPr>
      </w:pPr>
      <w:r>
        <w:rPr>
          <w:rFonts w:cs="Times New Roman"/>
        </w:rPr>
        <w:t>（2）设备安装前先检测各处高程是否正确，找准设备进出水方向，确认无误后将设备就位。就位后注意设备进出水管标高是否符合设计图纸要求，水平水流轴线是否与下水管道轴线保持在同一轴线上。确认设备是否稳定，在设备上端用水平仪等测定水平并调整。边做漏水检查，边确认水平，检查设备周围是否有漏水情况。</w:t>
      </w:r>
    </w:p>
    <w:p>
      <w:pPr>
        <w:ind w:firstLine="480"/>
        <w:rPr>
          <w:rFonts w:cs="Times New Roman"/>
        </w:rPr>
      </w:pPr>
      <w:r>
        <w:rPr>
          <w:rFonts w:cs="Times New Roman"/>
        </w:rPr>
        <w:t>（3）回填之前，必须灌水至设备内正常水位线处，防止设备方法移动或倾斜。要使用没有石头等杂质的优质土作为回填土，防止设备外壁刮伤。回填时，需一边确认水平一边回填，避免因回填导致设备倾斜，从而造成水平不良或局部负重。</w:t>
      </w:r>
    </w:p>
    <w:p>
      <w:pPr>
        <w:ind w:firstLine="480"/>
        <w:rPr>
          <w:rFonts w:cs="Times New Roman"/>
        </w:rPr>
      </w:pPr>
      <w:r>
        <w:rPr>
          <w:rFonts w:cs="Times New Roman"/>
        </w:rPr>
        <w:t>（4）确认流入、流出管的水平是否出现坡度，确认污水是否可正常流淌。将设备与图纸对照，确认是否齐全，检查设备运转是否正常，运转时产生的噪声是否在限定范围内。</w:t>
      </w:r>
    </w:p>
    <w:p>
      <w:pPr>
        <w:ind w:firstLine="480"/>
        <w:rPr>
          <w:rFonts w:cs="Times New Roman"/>
        </w:rPr>
      </w:pPr>
      <w:r>
        <w:rPr>
          <w:rFonts w:cs="Times New Roman"/>
        </w:rPr>
        <w:t>（5）设备安装结束后需由监理工程师和设计人员共同进行验收。</w:t>
      </w:r>
    </w:p>
    <w:p>
      <w:pPr>
        <w:ind w:firstLine="480"/>
        <w:rPr>
          <w:rFonts w:cs="Times New Roman"/>
        </w:rPr>
      </w:pPr>
      <w:r>
        <w:rPr>
          <w:rFonts w:cs="Times New Roman"/>
        </w:rPr>
        <w:t>①对污水处理成品设备的验收。包括检查设备的合格证、出厂检验质量报告、设备的进场复测报告，并按照国家现行标准进行现场抽样检测。</w:t>
      </w:r>
    </w:p>
    <w:p>
      <w:pPr>
        <w:ind w:firstLine="480"/>
        <w:rPr>
          <w:rFonts w:cs="Times New Roman"/>
        </w:rPr>
      </w:pPr>
      <w:r>
        <w:rPr>
          <w:rFonts w:cs="Times New Roman"/>
        </w:rPr>
        <w:t>②检验污水处理成品设备外观结构是否合理，各构件联接应符合设计图纸的要求。涂层是够均匀，螺丝是否松动，表面有无擦伤。</w:t>
      </w:r>
    </w:p>
    <w:p>
      <w:pPr>
        <w:ind w:firstLine="480"/>
        <w:rPr>
          <w:rFonts w:cs="Times New Roman"/>
        </w:rPr>
      </w:pPr>
      <w:r>
        <w:rPr>
          <w:rFonts w:cs="Times New Roman"/>
        </w:rPr>
        <w:t>③检查设备是否安装稳固、平整，池体是否倾斜，设备与管道间连接是否紧密。</w:t>
      </w:r>
    </w:p>
    <w:p>
      <w:pPr>
        <w:ind w:firstLine="480"/>
        <w:rPr>
          <w:rFonts w:cs="Times New Roman"/>
        </w:rPr>
      </w:pPr>
      <w:r>
        <w:rPr>
          <w:rFonts w:cs="Times New Roman"/>
        </w:rPr>
        <w:t>④设备所用管道直径等应符合设计图样尺寸要求。设备进出水管标高是否符合设计图纸要求，水平水流轴线是否与下水管道轴线保持在同一轴线上。确认设备是否稳定，在设备上端用水平仪等测定水平并调整。</w:t>
      </w:r>
    </w:p>
    <w:p>
      <w:pPr>
        <w:ind w:firstLine="480"/>
        <w:rPr>
          <w:rFonts w:cs="Times New Roman"/>
        </w:rPr>
      </w:pPr>
      <w:r>
        <w:rPr>
          <w:rFonts w:cs="Times New Roman"/>
        </w:rPr>
        <w:t>⑤设备的试水试验，确定设备是否漏水。在做漏水试验时，检查设备是否仍可保持水平。</w:t>
      </w:r>
    </w:p>
    <w:p>
      <w:pPr>
        <w:ind w:firstLine="480"/>
        <w:rPr>
          <w:rFonts w:cs="Times New Roman"/>
        </w:rPr>
      </w:pPr>
      <w:r>
        <w:rPr>
          <w:rFonts w:cs="Times New Roman"/>
        </w:rPr>
        <w:t>⑥设备的试运行，检查设备运转是否正常，运转时产生的噪声是否在限定范围内。</w:t>
      </w:r>
    </w:p>
    <w:p>
      <w:pPr>
        <w:ind w:firstLine="480"/>
        <w:rPr>
          <w:rFonts w:cs="Times New Roman"/>
        </w:rPr>
      </w:pPr>
      <w:r>
        <w:rPr>
          <w:rFonts w:cs="Times New Roman"/>
        </w:rPr>
        <w:t>⑦对污水处理成品设备进行技术性能试验，项目包括处理规模、污染物的去除效果、电能消耗等。</w:t>
      </w:r>
    </w:p>
    <w:p>
      <w:pPr>
        <w:ind w:firstLine="480"/>
        <w:rPr>
          <w:rFonts w:cs="Times New Roman"/>
        </w:rPr>
      </w:pPr>
      <w:r>
        <w:rPr>
          <w:rFonts w:cs="Times New Roman"/>
        </w:rPr>
        <w:t>⑧污水处理工程的验收记录和报告应按相关要求填写。经竣工验收合格后，工程可正式投入使用运行。</w:t>
      </w:r>
    </w:p>
    <w:p>
      <w:pPr>
        <w:pStyle w:val="9"/>
      </w:pPr>
      <w:r>
        <w:t>5.7.5.2 电气设备的安装和验收</w:t>
      </w:r>
    </w:p>
    <w:p>
      <w:pPr>
        <w:ind w:firstLine="480"/>
        <w:rPr>
          <w:rFonts w:cs="Times New Roman"/>
        </w:rPr>
      </w:pPr>
      <w:r>
        <w:rPr>
          <w:rFonts w:cs="Times New Roman"/>
        </w:rPr>
        <w:t>农村污水处理设施的电气与自动化工程的施工和验收应满足《城镇排水系统电气与自动化工程技术规程》（CJJ120-2008）、《自动化仪表工程施工及质量验收规范》（GB50093-2013）和《建筑电气工程施工质量验收规范》（GB50210-2011）的要求。</w:t>
      </w:r>
    </w:p>
    <w:p>
      <w:pPr>
        <w:ind w:firstLine="480"/>
        <w:rPr>
          <w:rFonts w:cs="Times New Roman"/>
        </w:rPr>
      </w:pPr>
      <w:r>
        <w:rPr>
          <w:rFonts w:cs="Times New Roman"/>
        </w:rPr>
        <w:t>（1）电气设备外观检查，有铭牌，附件齐全；电气设备规格、型号满足设计要求。</w:t>
      </w:r>
    </w:p>
    <w:p>
      <w:pPr>
        <w:ind w:firstLine="480"/>
        <w:rPr>
          <w:rFonts w:cs="Times New Roman"/>
        </w:rPr>
      </w:pPr>
      <w:r>
        <w:rPr>
          <w:rFonts w:cs="Times New Roman"/>
        </w:rPr>
        <w:t>（2）电气设备上的计量仪表和电气保护相关的仪表应检定合格。</w:t>
      </w:r>
    </w:p>
    <w:p>
      <w:pPr>
        <w:ind w:firstLine="480"/>
        <w:rPr>
          <w:rFonts w:cs="Times New Roman"/>
        </w:rPr>
      </w:pPr>
      <w:r>
        <w:rPr>
          <w:rFonts w:cs="Times New Roman"/>
        </w:rPr>
        <w:t>（3）对漏电保护装置进行模拟动作试验，保证其灵敏度与可靠性。</w:t>
      </w:r>
    </w:p>
    <w:p>
      <w:pPr>
        <w:ind w:firstLine="480"/>
        <w:rPr>
          <w:rFonts w:cs="Times New Roman"/>
        </w:rPr>
      </w:pPr>
      <w:r>
        <w:rPr>
          <w:rFonts w:cs="Times New Roman"/>
        </w:rPr>
        <w:t>（4）接地或接零支线必须单独与接地或接零干线相连接，不得串联连接。</w:t>
      </w:r>
    </w:p>
    <w:p>
      <w:pPr>
        <w:ind w:firstLine="480"/>
        <w:rPr>
          <w:rFonts w:cs="Times New Roman"/>
        </w:rPr>
      </w:pPr>
      <w:r>
        <w:rPr>
          <w:rFonts w:cs="Times New Roman"/>
        </w:rPr>
        <w:t>（5）检查设备和设施内的液位控制器动作是否正常；检查控制柜内的PLC 的“自动”和“手动”功能是否正常。</w:t>
      </w:r>
    </w:p>
    <w:p>
      <w:pPr>
        <w:ind w:firstLine="480"/>
        <w:rPr>
          <w:rFonts w:cs="Times New Roman"/>
        </w:rPr>
      </w:pPr>
      <w:r>
        <w:rPr>
          <w:rFonts w:cs="Times New Roman"/>
        </w:rPr>
        <w:t>（6）检查控制柜内继电器、接触器、短路保护器、热保护器等电气元件的技术性能是否良好，如有误差则及时检修或调整。</w:t>
      </w:r>
    </w:p>
    <w:p>
      <w:pPr>
        <w:ind w:firstLine="480"/>
        <w:rPr>
          <w:rFonts w:cs="Times New Roman"/>
        </w:rPr>
      </w:pPr>
      <w:r>
        <w:rPr>
          <w:rFonts w:cs="Times New Roman"/>
        </w:rPr>
        <w:t>（7）检查控制柜内所有的螺栓、螺母，以防脱落引起短路和因接触不良引起火花，损坏电器。</w:t>
      </w:r>
    </w:p>
    <w:p>
      <w:pPr>
        <w:pStyle w:val="9"/>
      </w:pPr>
      <w:r>
        <w:t>5.7.5.3 配套设备的安装和验收</w:t>
      </w:r>
    </w:p>
    <w:p>
      <w:pPr>
        <w:ind w:firstLine="480"/>
        <w:rPr>
          <w:rFonts w:cs="Times New Roman"/>
        </w:rPr>
      </w:pPr>
      <w:r>
        <w:rPr>
          <w:rFonts w:cs="Times New Roman"/>
        </w:rPr>
        <w:t>农村生活污水处理设施配套设备主要为水泵和风机。</w:t>
      </w:r>
    </w:p>
    <w:p>
      <w:pPr>
        <w:ind w:firstLine="480"/>
        <w:rPr>
          <w:rFonts w:cs="Times New Roman"/>
        </w:rPr>
      </w:pPr>
      <w:r>
        <w:rPr>
          <w:rFonts w:cs="Times New Roman"/>
        </w:rPr>
        <w:t>（1）污水处理配套设备入场前必须进行入场验收，产品的合格证、质量检测报告等齐全，并按国家规定进行复检，合格后入场妥善保管，同时相关资料应整理归档。检查配套设备的参数是否与设计说明书相符合，设备的性能应保证污水处理设施正常工作。</w:t>
      </w:r>
    </w:p>
    <w:p>
      <w:pPr>
        <w:ind w:firstLine="480"/>
        <w:rPr>
          <w:rFonts w:cs="Times New Roman"/>
        </w:rPr>
      </w:pPr>
      <w:r>
        <w:rPr>
          <w:rFonts w:cs="Times New Roman"/>
        </w:rPr>
        <w:t>（2）设备安装前，对预留的预埋件位置、尺寸进行校对确认，检查预埋件的验收报告。设备安装时，设备提供厂家需派人到施工现场指导安装，安装验收后需指导处理设施运行人员对设备进行基本操作使用。</w:t>
      </w:r>
    </w:p>
    <w:p>
      <w:pPr>
        <w:ind w:firstLine="480"/>
        <w:rPr>
          <w:rFonts w:cs="Times New Roman"/>
        </w:rPr>
      </w:pPr>
      <w:r>
        <w:rPr>
          <w:rFonts w:cs="Times New Roman"/>
        </w:rPr>
        <w:t>（3）设备的安装位置应避开不利的场所，如安装风机时，应尽量避免风雨阳光直接接触的场所、水汽、湿气、灰尘多的场所以及通风不好的场所。设备安装后，检查设备安装位置是否与图纸所示位置相符合；检查设备安装是否稳固，与管道连接是否严密。</w:t>
      </w:r>
    </w:p>
    <w:p>
      <w:pPr>
        <w:ind w:firstLine="480"/>
        <w:rPr>
          <w:rFonts w:cs="Times New Roman"/>
        </w:rPr>
      </w:pPr>
      <w:r>
        <w:rPr>
          <w:rFonts w:cs="Times New Roman"/>
        </w:rPr>
        <w:t>（4）对设备进行试运行试验，确保设备常运行，运行时产生的噪声在规定范围内，不影响附近居民的正常生活。</w:t>
      </w:r>
    </w:p>
    <w:p>
      <w:pPr>
        <w:ind w:firstLine="480"/>
        <w:rPr>
          <w:rFonts w:cs="Times New Roman"/>
        </w:rPr>
      </w:pPr>
      <w:r>
        <w:rPr>
          <w:rFonts w:cs="Times New Roman"/>
        </w:rPr>
        <w:t>（5）验收时应检查设备的合格证、出厂质量检测报告、入场复检报告等相关资料；检查配套设备的参数与设计说明书是否符合，设备的性能是否能保证污水处理设施正常工作。</w:t>
      </w:r>
    </w:p>
    <w:p>
      <w:pPr>
        <w:ind w:firstLine="480"/>
        <w:rPr>
          <w:rFonts w:cs="Times New Roman"/>
        </w:rPr>
      </w:pPr>
      <w:r>
        <w:rPr>
          <w:rFonts w:cs="Times New Roman"/>
        </w:rPr>
        <w:t>（6）设备安装验收后，使用说明书、验收报告等资料整理归档，方便运行管理人员的使用及监管部门的抽查。</w:t>
      </w:r>
    </w:p>
    <w:p>
      <w:pPr>
        <w:pStyle w:val="5"/>
      </w:pPr>
      <w:bookmarkStart w:id="50" w:name="_Toc43848822"/>
      <w:r>
        <w:t>6 处理设施运维管理</w:t>
      </w:r>
      <w:bookmarkEnd w:id="50"/>
    </w:p>
    <w:p>
      <w:pPr>
        <w:ind w:firstLine="480"/>
        <w:rPr>
          <w:rFonts w:cs="Times New Roman"/>
          <w:bCs/>
        </w:rPr>
      </w:pPr>
      <w:r>
        <w:rPr>
          <w:rFonts w:cs="Times New Roman"/>
          <w:bCs/>
        </w:rPr>
        <w:t>坚持“以用为本、建管并重”，切实加强维护管理，确保农村生活污水处理设施正常有效运行。</w:t>
      </w:r>
    </w:p>
    <w:p>
      <w:pPr>
        <w:pStyle w:val="7"/>
        <w:rPr>
          <w:rFonts w:ascii="Times New Roman" w:hAnsi="Times New Roman" w:cs="Times New Roman"/>
        </w:rPr>
      </w:pPr>
      <w:bookmarkStart w:id="51" w:name="_Toc43848823"/>
      <w:r>
        <w:rPr>
          <w:rFonts w:ascii="Times New Roman" w:hAnsi="Times New Roman" w:cs="Times New Roman"/>
        </w:rPr>
        <w:t>6.1 设施运维管理</w:t>
      </w:r>
      <w:bookmarkEnd w:id="51"/>
    </w:p>
    <w:p>
      <w:pPr>
        <w:pStyle w:val="8"/>
        <w:rPr>
          <w:rFonts w:ascii="Times New Roman" w:hAnsi="Times New Roman" w:cs="Times New Roman"/>
        </w:rPr>
      </w:pPr>
      <w:r>
        <w:rPr>
          <w:rFonts w:ascii="Times New Roman" w:hAnsi="Times New Roman" w:cs="Times New Roman"/>
        </w:rPr>
        <w:t>6.1.1 纳管处理</w:t>
      </w:r>
    </w:p>
    <w:p>
      <w:pPr>
        <w:ind w:firstLine="480"/>
        <w:rPr>
          <w:rFonts w:cs="Times New Roman"/>
        </w:rPr>
      </w:pPr>
      <w:r>
        <w:rPr>
          <w:rFonts w:cs="Times New Roman"/>
        </w:rPr>
        <w:t>东关镇铁匠铺村、郭家滩村、马家</w:t>
      </w:r>
      <w:r>
        <w:rPr>
          <w:rFonts w:hint="eastAsia" w:cs="Times New Roman"/>
        </w:rPr>
        <w:t>滩</w:t>
      </w:r>
      <w:r>
        <w:rPr>
          <w:rFonts w:cs="Times New Roman"/>
        </w:rPr>
        <w:t>村、王家滩村</w:t>
      </w:r>
      <w:r>
        <w:rPr>
          <w:rFonts w:hint="eastAsia" w:cs="Times New Roman"/>
        </w:rPr>
        <w:t>、张家圪</w:t>
      </w:r>
      <w:r>
        <w:rPr>
          <w:rFonts w:hint="eastAsia" w:cs="Times New Roman"/>
          <w:lang w:eastAsia="zh-CN"/>
        </w:rPr>
        <w:t>坨</w:t>
      </w:r>
      <w:r>
        <w:rPr>
          <w:rFonts w:hint="eastAsia" w:cs="Times New Roman"/>
        </w:rPr>
        <w:t>村</w:t>
      </w:r>
      <w:r>
        <w:rPr>
          <w:rFonts w:cs="Times New Roman"/>
        </w:rPr>
        <w:t>的污水纳入城镇污水管网，采用城乡一体化运维管理方式。</w:t>
      </w:r>
    </w:p>
    <w:p>
      <w:pPr>
        <w:pStyle w:val="8"/>
        <w:rPr>
          <w:rFonts w:ascii="Times New Roman" w:hAnsi="Times New Roman" w:cs="Times New Roman"/>
        </w:rPr>
      </w:pPr>
      <w:r>
        <w:rPr>
          <w:rFonts w:ascii="Times New Roman" w:hAnsi="Times New Roman" w:cs="Times New Roman"/>
        </w:rPr>
        <w:t>6.1.2 集中处理</w:t>
      </w:r>
    </w:p>
    <w:p>
      <w:pPr>
        <w:ind w:firstLine="480"/>
        <w:rPr>
          <w:rFonts w:cs="Times New Roman"/>
        </w:rPr>
      </w:pPr>
      <w:r>
        <w:rPr>
          <w:rFonts w:cs="Times New Roman"/>
        </w:rPr>
        <w:t>杨家湾镇</w:t>
      </w:r>
      <w:r>
        <w:rPr>
          <w:rFonts w:hint="eastAsia" w:cs="Times New Roman"/>
        </w:rPr>
        <w:t>花园村</w:t>
      </w:r>
      <w:r>
        <w:rPr>
          <w:rFonts w:cs="Times New Roman"/>
        </w:rPr>
        <w:t>建设污水集中处理设施，推荐采取政府购买服务方式委托具有生活污水处理设施运营管理资质的第三方专业机构或城镇污水处理厂进行运维。政府工作重点应放在监督管理上，如监测水质是否达标、考核运营单位管理状况等。区政府可从水质考核指标、设施运行参数等评价分析运维机构专业服务能力，对处理设施运维进行评价，评价结果应作为运维管理部门对运维机构服务质量考核依据之一。</w:t>
      </w:r>
    </w:p>
    <w:p>
      <w:pPr>
        <w:ind w:firstLine="480"/>
        <w:rPr>
          <w:rFonts w:cs="Times New Roman"/>
        </w:rPr>
      </w:pPr>
      <w:r>
        <w:rPr>
          <w:rFonts w:cs="Times New Roman"/>
        </w:rPr>
        <w:t>委托专业公司管理模式是指将设施的运行管理权委托给具有生活污水处理设施运营管理资质的第三方机构承担设施的稳定运行。参与农村生活污水处理设施运行维护的专业服务机构，应具备相应的专业服务能力。一是对污水处理的专业化要求，管理人员要掌握必要的污水处理专业知识及工艺操作流程；二是工作人员要具有一定的职业道德素质，对污水处理维修保养及时，具有基本的污水处理设施检修和调整能力。</w:t>
      </w:r>
    </w:p>
    <w:p>
      <w:pPr>
        <w:ind w:firstLine="480"/>
        <w:rPr>
          <w:rFonts w:cs="Times New Roman"/>
        </w:rPr>
      </w:pPr>
      <w:r>
        <w:rPr>
          <w:rFonts w:cs="Times New Roman"/>
        </w:rPr>
        <w:t>委托方应做好对污水收集管网、污水处理设施等的日常检查和定期维护，发现问题及时检修，做好运维记录，保证设施正常运行。</w:t>
      </w:r>
    </w:p>
    <w:p>
      <w:pPr>
        <w:ind w:firstLine="480"/>
        <w:rPr>
          <w:rFonts w:cs="Times New Roman"/>
        </w:rPr>
      </w:pPr>
      <w:r>
        <w:rPr>
          <w:rFonts w:cs="Times New Roman"/>
        </w:rPr>
        <w:t>日常检查：做好污水收集预处理池、污水收集管网、污水处理终端与系统运行相关的构筑物、机电设备以及附属设施的“防渗漏、防堵塞、防破损、防故障”。对污水收集管网、处理工艺主体等构筑物进行全面巡查检查，发现损坏及时修复；检查各类井盖的完整性、安全性；进行清渣清淤维护；对水泵、风机等机电设备及电力电缆运行情况进行检查，出现故障及时维修更换。另外，污水管道系统不得接入企业、小作坊、畜禽养殖等非生活污水，运维服务机构应对接管情况进行监督。</w:t>
      </w:r>
    </w:p>
    <w:p>
      <w:pPr>
        <w:ind w:firstLine="480"/>
        <w:rPr>
          <w:rFonts w:cs="Times New Roman"/>
        </w:rPr>
      </w:pPr>
      <w:r>
        <w:rPr>
          <w:rFonts w:cs="Times New Roman"/>
        </w:rPr>
        <w:t>定期维护：清理处理池内难分解的悬浮物；清理处理池内沉积物；人工湿地植物的季节性管理；更换生化填料；管网维修。</w:t>
      </w:r>
    </w:p>
    <w:p>
      <w:pPr>
        <w:ind w:firstLine="480"/>
        <w:rPr>
          <w:rFonts w:cs="Times New Roman"/>
        </w:rPr>
      </w:pPr>
      <w:r>
        <w:rPr>
          <w:rFonts w:cs="Times New Roman"/>
        </w:rPr>
        <w:t>具体运行和维护措施如下：</w:t>
      </w:r>
    </w:p>
    <w:p>
      <w:pPr>
        <w:ind w:firstLine="480"/>
        <w:rPr>
          <w:rFonts w:cs="Times New Roman"/>
        </w:rPr>
      </w:pPr>
      <w:r>
        <w:rPr>
          <w:rFonts w:cs="Times New Roman"/>
        </w:rPr>
        <w:t>1、设施运维</w:t>
      </w:r>
    </w:p>
    <w:p>
      <w:pPr>
        <w:ind w:firstLine="480"/>
        <w:rPr>
          <w:rFonts w:cs="Times New Roman"/>
        </w:rPr>
      </w:pPr>
      <w:r>
        <w:rPr>
          <w:rFonts w:cs="Times New Roman"/>
        </w:rPr>
        <w:t>（1）预处理设施维护</w:t>
      </w:r>
    </w:p>
    <w:p>
      <w:pPr>
        <w:ind w:firstLine="480"/>
        <w:rPr>
          <w:rFonts w:cs="Times New Roman"/>
        </w:rPr>
      </w:pPr>
      <w:r>
        <w:rPr>
          <w:rFonts w:cs="Times New Roman"/>
        </w:rPr>
        <w:t>对于采用集中治理的村庄，应对预处理设施定期巡查。发现格栅内有大量杂物时应及时清理，防止堵塞；调节池应定期清掏；对有饭店的村庄（桥头镇桥头村等），定期巡查隔油池清掏情况、盖板开启情况，定期检查隔油池管道系统，发现破损及时维修更换，如有堵塞，应及时清理，保持畅通；沉淀池表面出现浮渣时应及时清理，保证出水畅通，如有污泥上浮等现象应适当加大曝气量或减少沉淀池停留时间。</w:t>
      </w:r>
    </w:p>
    <w:p>
      <w:pPr>
        <w:ind w:firstLine="480"/>
        <w:rPr>
          <w:rFonts w:cs="Times New Roman"/>
        </w:rPr>
      </w:pPr>
      <w:r>
        <w:rPr>
          <w:rFonts w:cs="Times New Roman"/>
        </w:rPr>
        <w:t>（2）缺氧池、好氧池维护</w:t>
      </w:r>
    </w:p>
    <w:p>
      <w:pPr>
        <w:ind w:firstLine="480"/>
        <w:rPr>
          <w:rFonts w:cs="Times New Roman"/>
        </w:rPr>
      </w:pPr>
      <w:r>
        <w:rPr>
          <w:rFonts w:hint="eastAsia" w:cs="Times New Roman"/>
        </w:rPr>
        <w:t>杨家湾镇花园村</w:t>
      </w:r>
      <w:r>
        <w:rPr>
          <w:rFonts w:cs="Times New Roman"/>
        </w:rPr>
        <w:t>采用“缺氧-好氧”处理，应做好对缺氧池、好氧池的维护。</w:t>
      </w:r>
    </w:p>
    <w:p>
      <w:pPr>
        <w:ind w:firstLine="480"/>
        <w:rPr>
          <w:rFonts w:cs="Times New Roman"/>
        </w:rPr>
      </w:pPr>
      <w:r>
        <w:rPr>
          <w:rFonts w:cs="Times New Roman"/>
        </w:rPr>
        <w:t>缺氧池表面有浮渣产生时应及时清理，污泥应定期排放，采用空气搅拌时，严防搅拌过度，带入过多的溶解氧，影响脱氮效果。通常好氧池的溶解氧控制在2-3mg/L范围内；好氧池内曝气存在不均匀现象时应对鼓风机及管路进行检查，确认是否有漏气、堵塞等问题；接触氧化池应定期观察生物附着量、颜色等，如生物膜附着过多，部分区域呈现灰黑色时，填料内部可能出现堵塞情况，应及时清理，如有曝气死区，应及时调整曝气头位置或疏通曝气管，保证曝气均匀；接触氧化工艺应根据运行状况，定期排除生物膜剥离污泥；定期测定污泥回流比及硝化液回流比，如出现与设定值不符或出水水质变差时，应根据情况及时调整。</w:t>
      </w:r>
    </w:p>
    <w:p>
      <w:pPr>
        <w:ind w:firstLine="480"/>
        <w:rPr>
          <w:rFonts w:cs="Times New Roman"/>
        </w:rPr>
      </w:pPr>
      <w:r>
        <w:rPr>
          <w:rFonts w:cs="Times New Roman"/>
        </w:rPr>
        <w:t>2、管网运维</w:t>
      </w:r>
    </w:p>
    <w:p>
      <w:pPr>
        <w:ind w:firstLine="480"/>
        <w:rPr>
          <w:rFonts w:cs="Times New Roman"/>
        </w:rPr>
      </w:pPr>
      <w:r>
        <w:rPr>
          <w:rFonts w:cs="Times New Roman"/>
        </w:rPr>
        <w:t>对于采用集中治理的</w:t>
      </w:r>
      <w:r>
        <w:rPr>
          <w:rFonts w:hint="eastAsia" w:cs="Times New Roman"/>
          <w:lang w:val="en-US" w:eastAsia="zh-CN"/>
        </w:rPr>
        <w:t>5</w:t>
      </w:r>
      <w:r>
        <w:rPr>
          <w:rFonts w:cs="Times New Roman"/>
        </w:rPr>
        <w:t>个村庄，应做好管网的运行和维护。</w:t>
      </w:r>
    </w:p>
    <w:p>
      <w:pPr>
        <w:ind w:firstLine="480"/>
        <w:rPr>
          <w:rFonts w:cs="Times New Roman"/>
        </w:rPr>
      </w:pPr>
      <w:r>
        <w:rPr>
          <w:rFonts w:cs="Times New Roman"/>
        </w:rPr>
        <w:t>（1）管网运维前期工作</w:t>
      </w:r>
    </w:p>
    <w:p>
      <w:pPr>
        <w:ind w:firstLine="480"/>
        <w:rPr>
          <w:rFonts w:cs="Times New Roman"/>
        </w:rPr>
      </w:pPr>
      <w:r>
        <w:rPr>
          <w:rFonts w:cs="Times New Roman"/>
        </w:rPr>
        <w:t>①掌握管网现状及长期运行情况</w:t>
      </w:r>
    </w:p>
    <w:p>
      <w:pPr>
        <w:ind w:firstLine="480"/>
        <w:rPr>
          <w:rFonts w:cs="Times New Roman"/>
        </w:rPr>
      </w:pPr>
      <w:r>
        <w:rPr>
          <w:rFonts w:cs="Times New Roman"/>
        </w:rPr>
        <w:t>特别是要详细掌握管线走向、直径、位置、埋深、工作压力，管道周围的土壤类别，地下水位，管道运行时间，检修情况，各检查井位置，各排水设备及排水点的布局情况。</w:t>
      </w:r>
    </w:p>
    <w:p>
      <w:pPr>
        <w:ind w:firstLine="480"/>
        <w:rPr>
          <w:rFonts w:cs="Times New Roman"/>
        </w:rPr>
      </w:pPr>
      <w:r>
        <w:rPr>
          <w:rFonts w:cs="Times New Roman"/>
        </w:rPr>
        <w:t>②室外检查重点</w:t>
      </w:r>
    </w:p>
    <w:p>
      <w:pPr>
        <w:ind w:firstLine="480"/>
        <w:rPr>
          <w:rFonts w:cs="Times New Roman"/>
        </w:rPr>
      </w:pPr>
      <w:r>
        <w:rPr>
          <w:rFonts w:cs="Times New Roman"/>
        </w:rPr>
        <w:t>化粪池、管道、检查井等，有无被压、被挖损坏以及个别用户乱接乱改的情况，特别是在管道返修、基本建设施工的地方，更应经常巡查有无堆放的白灰、沙子、碎石等建筑材料，以防雨水将它们冲入井内，及大石块损坏井盖、碰坏阀门。</w:t>
      </w:r>
    </w:p>
    <w:p>
      <w:pPr>
        <w:ind w:firstLine="480"/>
        <w:rPr>
          <w:rFonts w:cs="Times New Roman"/>
        </w:rPr>
      </w:pPr>
      <w:r>
        <w:rPr>
          <w:rFonts w:cs="Times New Roman"/>
        </w:rPr>
        <w:t>（2）日常维护</w:t>
      </w:r>
    </w:p>
    <w:p>
      <w:pPr>
        <w:ind w:firstLine="480"/>
        <w:rPr>
          <w:rFonts w:cs="Times New Roman"/>
        </w:rPr>
      </w:pPr>
      <w:r>
        <w:rPr>
          <w:rFonts w:cs="Times New Roman"/>
        </w:rPr>
        <w:t>污水管网日常检查及维护内容包括：</w:t>
      </w:r>
    </w:p>
    <w:p>
      <w:pPr>
        <w:ind w:firstLine="480"/>
        <w:rPr>
          <w:rFonts w:cs="Times New Roman"/>
        </w:rPr>
      </w:pPr>
      <w:r>
        <w:rPr>
          <w:rFonts w:cs="Times New Roman"/>
        </w:rPr>
        <w:t>①检查井表面是否有垃圾或损坏，若有，则进行清理，保持检查井表面干净完好；</w:t>
      </w:r>
    </w:p>
    <w:p>
      <w:pPr>
        <w:ind w:firstLine="480"/>
        <w:rPr>
          <w:rFonts w:cs="Times New Roman"/>
        </w:rPr>
      </w:pPr>
      <w:r>
        <w:rPr>
          <w:rFonts w:cs="Times New Roman"/>
        </w:rPr>
        <w:t>②掀开检查井，是否有异物入，内部淤泥是否过多（不超过管径的1/5），若发现异物进入，则需取出，若淤泥过多，进行抽淤。所抽污泥运送进行专业处置，并做好台账记录。</w:t>
      </w:r>
    </w:p>
    <w:p>
      <w:pPr>
        <w:ind w:firstLine="480"/>
        <w:rPr>
          <w:rFonts w:cs="Times New Roman"/>
        </w:rPr>
      </w:pPr>
      <w:r>
        <w:rPr>
          <w:rFonts w:cs="Times New Roman"/>
        </w:rPr>
        <w:t>③水流是否正常，若不正常，则对管道进行检查。</w:t>
      </w:r>
    </w:p>
    <w:p>
      <w:pPr>
        <w:ind w:firstLine="480"/>
        <w:rPr>
          <w:rFonts w:cs="Times New Roman"/>
        </w:rPr>
      </w:pPr>
      <w:r>
        <w:rPr>
          <w:rFonts w:cs="Times New Roman"/>
        </w:rPr>
        <w:t>④管网沿线是否有沉降，若有，报告运维小组，由运维小组向有关部门汇报。</w:t>
      </w:r>
    </w:p>
    <w:p>
      <w:pPr>
        <w:ind w:firstLine="480"/>
        <w:rPr>
          <w:rFonts w:cs="Times New Roman"/>
        </w:rPr>
      </w:pPr>
      <w:r>
        <w:rPr>
          <w:rFonts w:cs="Times New Roman"/>
        </w:rPr>
        <w:t>⑤井盖是否丢失。</w:t>
      </w:r>
    </w:p>
    <w:p>
      <w:pPr>
        <w:ind w:firstLine="480"/>
        <w:rPr>
          <w:rFonts w:cs="Times New Roman"/>
        </w:rPr>
      </w:pPr>
      <w:r>
        <w:rPr>
          <w:rFonts w:cs="Times New Roman"/>
        </w:rPr>
        <w:t>（3）管道定期巡检和保养</w:t>
      </w:r>
    </w:p>
    <w:p>
      <w:pPr>
        <w:ind w:firstLine="480"/>
        <w:rPr>
          <w:rFonts w:cs="Times New Roman"/>
        </w:rPr>
      </w:pPr>
      <w:r>
        <w:rPr>
          <w:rFonts w:cs="Times New Roman"/>
        </w:rPr>
        <w:t>①管道定期巡检</w:t>
      </w:r>
    </w:p>
    <w:p>
      <w:pPr>
        <w:ind w:firstLine="480"/>
        <w:rPr>
          <w:rFonts w:cs="Times New Roman"/>
        </w:rPr>
      </w:pPr>
      <w:r>
        <w:rPr>
          <w:rFonts w:cs="Times New Roman"/>
        </w:rPr>
        <w:t>排水管道应定期巡查：管道巡查管理的内容包括污水冒溢、晴天雨水口积水、检查井井盖、井座的完好状况、违章占压及违章排水情况、水位水流情况、管道淤积情况、管道塌陷，同时还要定期进入管道内检查，检查管道有无变形、渗漏、腐蚀、沉降树根等情况。</w:t>
      </w:r>
    </w:p>
    <w:p>
      <w:pPr>
        <w:ind w:firstLine="480"/>
        <w:rPr>
          <w:rFonts w:cs="Times New Roman"/>
        </w:rPr>
      </w:pPr>
      <w:r>
        <w:rPr>
          <w:rFonts w:cs="Times New Roman"/>
        </w:rPr>
        <w:t>②压力管的养护</w:t>
      </w:r>
    </w:p>
    <w:p>
      <w:pPr>
        <w:ind w:firstLine="480"/>
        <w:rPr>
          <w:rFonts w:cs="Times New Roman"/>
        </w:rPr>
      </w:pPr>
      <w:r>
        <w:rPr>
          <w:rFonts w:cs="Times New Roman"/>
        </w:rPr>
        <w:t>定期巡视，及时发现和修理管道裂缝、腐蚀、沉降、变形错口、脱节、破损、孔洞、异管穿入、渗漏、冒溢等情况；压力管养护应采用满负荷开泵的方式进行水力冲洗，至少每三个月一次；定期清除透气井内的浮渣；保持排气阀、压力井、透气井等附属设施的完好有效；定期开盖检查压力井盖板，发现盖板锈蚀、密封垫老化、井体裂缝、管内积泥等情况应及时维修和保养。</w:t>
      </w:r>
    </w:p>
    <w:p>
      <w:pPr>
        <w:ind w:firstLine="480"/>
        <w:rPr>
          <w:rFonts w:cs="Times New Roman"/>
        </w:rPr>
      </w:pPr>
      <w:r>
        <w:rPr>
          <w:rFonts w:cs="Times New Roman"/>
        </w:rPr>
        <w:t>③管道清疏</w:t>
      </w:r>
    </w:p>
    <w:p>
      <w:pPr>
        <w:ind w:firstLine="480"/>
        <w:rPr>
          <w:rFonts w:cs="Times New Roman"/>
        </w:rPr>
      </w:pPr>
      <w:r>
        <w:rPr>
          <w:rFonts w:cs="Times New Roman"/>
        </w:rPr>
        <w:t>根据管道的巡查情况，组织人员定期进行捞渣、清除淤泥等作业，以保证管道积泥深度不超过管径的1/4。</w:t>
      </w:r>
    </w:p>
    <w:p>
      <w:pPr>
        <w:ind w:firstLine="480"/>
        <w:rPr>
          <w:rFonts w:cs="Times New Roman"/>
        </w:rPr>
      </w:pPr>
      <w:r>
        <w:rPr>
          <w:rFonts w:cs="Times New Roman"/>
        </w:rPr>
        <w:t>④管道维修</w:t>
      </w:r>
    </w:p>
    <w:p>
      <w:pPr>
        <w:ind w:firstLine="480"/>
        <w:rPr>
          <w:rFonts w:cs="Times New Roman"/>
        </w:rPr>
      </w:pPr>
      <w:r>
        <w:rPr>
          <w:rFonts w:cs="Times New Roman"/>
        </w:rPr>
        <w:t>管道维修的内容包括检查井及其盖座的维修更换、局部管道的更新改造、补漏等。管道开挖修理应符合现行国家标准《给水排水管道工程施工及验收规范》（GN50268）的规定。</w:t>
      </w:r>
    </w:p>
    <w:p>
      <w:pPr>
        <w:ind w:firstLine="480"/>
        <w:rPr>
          <w:rFonts w:cs="Times New Roman"/>
        </w:rPr>
      </w:pPr>
      <w:r>
        <w:rPr>
          <w:rFonts w:cs="Times New Roman"/>
        </w:rPr>
        <w:t>（4）管网修复</w:t>
      </w:r>
    </w:p>
    <w:p>
      <w:pPr>
        <w:ind w:firstLine="480"/>
        <w:rPr>
          <w:rFonts w:cs="Times New Roman"/>
        </w:rPr>
      </w:pPr>
      <w:r>
        <w:rPr>
          <w:rFonts w:cs="Times New Roman"/>
        </w:rPr>
        <w:t>常用的维修手段包括人工清淤、开槽施工、破出混凝土技术开挖修复技术。</w:t>
      </w:r>
    </w:p>
    <w:p>
      <w:pPr>
        <w:ind w:firstLine="480"/>
        <w:rPr>
          <w:rFonts w:cs="Times New Roman"/>
        </w:rPr>
      </w:pPr>
      <w:r>
        <w:rPr>
          <w:rFonts w:cs="Times New Roman"/>
        </w:rPr>
        <w:t>①管道堵塞</w:t>
      </w:r>
    </w:p>
    <w:p>
      <w:pPr>
        <w:ind w:firstLine="480"/>
        <w:rPr>
          <w:rFonts w:cs="Times New Roman"/>
        </w:rPr>
      </w:pPr>
      <w:r>
        <w:rPr>
          <w:rFonts w:cs="Times New Roman"/>
        </w:rPr>
        <w:t>水力清通，使用水力冲洗车或高压射水车队管道进行冲洗，将上游管道中的污泥排入下游检查井，然后用吸泥车抽吸运走。</w:t>
      </w:r>
    </w:p>
    <w:p>
      <w:pPr>
        <w:ind w:firstLine="480"/>
        <w:rPr>
          <w:rFonts w:cs="Times New Roman"/>
        </w:rPr>
      </w:pPr>
      <w:r>
        <w:rPr>
          <w:rFonts w:cs="Times New Roman"/>
        </w:rPr>
        <w:t>机械清理，当管道淤堵严重时，淤泥已粘结密实，水力清通的效果不好时，需要采用机械清通方法。</w:t>
      </w:r>
    </w:p>
    <w:p>
      <w:pPr>
        <w:ind w:firstLine="480"/>
        <w:rPr>
          <w:rFonts w:cs="Times New Roman"/>
        </w:rPr>
      </w:pPr>
      <w:r>
        <w:rPr>
          <w:rFonts w:cs="Times New Roman"/>
        </w:rPr>
        <w:t>②管道变形、沉陷</w:t>
      </w:r>
    </w:p>
    <w:p>
      <w:pPr>
        <w:ind w:firstLine="480"/>
        <w:rPr>
          <w:rFonts w:cs="Times New Roman"/>
        </w:rPr>
      </w:pPr>
      <w:r>
        <w:rPr>
          <w:rFonts w:cs="Times New Roman"/>
        </w:rPr>
        <w:t>管道变形、沉陷主要原因是管道施工基础受到扰动或回填密实度不够，造成局部变形或沉陷，这样会破坏坡度，因此一经发现必须积极采取措施，对变形管线的基础可采用全面注水灌砂加强管基法或对局部严重变形的部位进行开挖，然后加固。</w:t>
      </w:r>
    </w:p>
    <w:p>
      <w:pPr>
        <w:ind w:firstLine="480"/>
        <w:rPr>
          <w:rFonts w:cs="Times New Roman"/>
        </w:rPr>
      </w:pPr>
      <w:r>
        <w:rPr>
          <w:rFonts w:cs="Times New Roman"/>
        </w:rPr>
        <w:t>③管道脱节、断裂</w:t>
      </w:r>
    </w:p>
    <w:p>
      <w:pPr>
        <w:ind w:firstLine="480"/>
        <w:rPr>
          <w:rFonts w:cs="Times New Roman"/>
        </w:rPr>
      </w:pPr>
      <w:r>
        <w:rPr>
          <w:rFonts w:cs="Times New Roman"/>
        </w:rPr>
        <w:t>对上游井进行堵闭，采用污水泵将上游污水抽入下游井或临时引入到雨水井系统，进行开挖并检查其破坏的严重程度，可采用内衬法修补，即用HDPE内衬与脱节或断裂的管道中，进行加热内衬。</w:t>
      </w:r>
    </w:p>
    <w:p>
      <w:pPr>
        <w:ind w:firstLine="480"/>
        <w:rPr>
          <w:rFonts w:cs="Times New Roman"/>
        </w:rPr>
      </w:pPr>
      <w:r>
        <w:rPr>
          <w:rFonts w:cs="Times New Roman"/>
        </w:rPr>
        <w:t>3、冬季运行维护注意事项</w:t>
      </w:r>
    </w:p>
    <w:p>
      <w:pPr>
        <w:ind w:firstLine="480"/>
        <w:rPr>
          <w:rFonts w:cs="Times New Roman"/>
        </w:rPr>
      </w:pPr>
      <w:r>
        <w:rPr>
          <w:rFonts w:cs="Times New Roman"/>
        </w:rPr>
        <w:t>保德县冬季气温相对较低，应做好设施和管网的相关维护工作。</w:t>
      </w:r>
    </w:p>
    <w:p>
      <w:pPr>
        <w:ind w:firstLine="480"/>
        <w:rPr>
          <w:rFonts w:cs="Times New Roman"/>
        </w:rPr>
      </w:pPr>
      <w:r>
        <w:rPr>
          <w:rFonts w:cs="Times New Roman"/>
        </w:rPr>
        <w:t>（1）管道及阀门</w:t>
      </w:r>
    </w:p>
    <w:p>
      <w:pPr>
        <w:ind w:firstLine="480"/>
        <w:rPr>
          <w:rFonts w:cs="Times New Roman"/>
        </w:rPr>
      </w:pPr>
      <w:r>
        <w:rPr>
          <w:rFonts w:cs="Times New Roman"/>
        </w:rPr>
        <w:t>管道应尽可能敷设在冰冻线以下，对于露出地面的室外污水管道、污泥管道、空气管道、阀门等应采取保温措施。冬季存有液体的管道，应设置排水阀。应在冬季来临之前，检查室外的阀门等，在结合部涂抹适用于低温的润滑脂。设置在室外的阀门应做保温处理。冬季来临前把草垫放入阀门井内，防止阀门冻裂，阀门使用完毕后盖好草垫。放入草垫前应清空阀门井内积水，并检修阀门，防止漏水。操作完毕后应立即将阀门井盖盖严。</w:t>
      </w:r>
    </w:p>
    <w:p>
      <w:pPr>
        <w:ind w:firstLine="480"/>
        <w:rPr>
          <w:rFonts w:cs="Times New Roman"/>
        </w:rPr>
      </w:pPr>
      <w:r>
        <w:rPr>
          <w:rFonts w:cs="Times New Roman"/>
        </w:rPr>
        <w:t>（2）仪表与设备</w:t>
      </w:r>
    </w:p>
    <w:p>
      <w:pPr>
        <w:ind w:firstLine="480"/>
        <w:rPr>
          <w:rFonts w:cs="Times New Roman"/>
        </w:rPr>
      </w:pPr>
      <w:r>
        <w:rPr>
          <w:rFonts w:cs="Times New Roman"/>
        </w:rPr>
        <w:t>仪表、设备应尽可能设置在室内。室外的电气设备会因积雪、融雪等原因造成绝缘电阻下降，应随时测量电阻值，及时进行检修和保养。应使用适用于低温的润滑油。由于低温影响，电气元件塑料外壳极易碎裂，螺丝紧固时应特别注意，避免用力过大致使元器件损坏。能够在室内检修的设备尽量不要在室外检修。</w:t>
      </w:r>
    </w:p>
    <w:p>
      <w:pPr>
        <w:ind w:firstLine="480"/>
        <w:rPr>
          <w:rFonts w:cs="Times New Roman"/>
        </w:rPr>
      </w:pPr>
      <w:r>
        <w:rPr>
          <w:rFonts w:cs="Times New Roman"/>
        </w:rPr>
        <w:t>（3）冬季管理</w:t>
      </w:r>
    </w:p>
    <w:p>
      <w:pPr>
        <w:ind w:firstLine="480"/>
        <w:rPr>
          <w:rFonts w:cs="Times New Roman"/>
        </w:rPr>
      </w:pPr>
      <w:r>
        <w:rPr>
          <w:rFonts w:cs="Times New Roman"/>
        </w:rPr>
        <w:t>冬季来临前应对设备进行全面的维护保养与检修，包括加润滑油、更换易耗品等，特别对工艺有重要影响的设备应提前检修。对易堵塞的污水管道、格栅井、集水井等应在入冬前做次彻底疏通和清理。冬季潜流人工湿地应釆取地膜、植物（收割的秸秆、芦苇等）联合覆盖的保温措施。如遇大雪低温天气应加强对外部线路的巡视,主要检查绝缘层有无冻裂或进水现象。</w:t>
      </w:r>
    </w:p>
    <w:p>
      <w:pPr>
        <w:pStyle w:val="8"/>
        <w:rPr>
          <w:rFonts w:ascii="Times New Roman" w:hAnsi="Times New Roman" w:cs="Times New Roman"/>
        </w:rPr>
      </w:pPr>
      <w:r>
        <w:rPr>
          <w:rFonts w:ascii="Times New Roman" w:hAnsi="Times New Roman" w:cs="Times New Roman"/>
        </w:rPr>
        <w:t>6.1.3 分散处理</w:t>
      </w:r>
    </w:p>
    <w:p>
      <w:pPr>
        <w:ind w:firstLine="480"/>
        <w:rPr>
          <w:rFonts w:cs="Times New Roman"/>
        </w:rPr>
      </w:pPr>
      <w:r>
        <w:rPr>
          <w:rFonts w:hint="eastAsia" w:cs="Times New Roman"/>
          <w:lang w:eastAsia="zh-CN"/>
        </w:rPr>
        <w:t>义门镇刘家畔村、桥头镇夏柳青村、</w:t>
      </w:r>
      <w:r>
        <w:rPr>
          <w:rFonts w:cs="Times New Roman"/>
        </w:rPr>
        <w:t>腰庄乡腰庄村、</w:t>
      </w:r>
      <w:r>
        <w:rPr>
          <w:rFonts w:hint="eastAsia" w:cs="Times New Roman"/>
          <w:lang w:eastAsia="zh-CN"/>
        </w:rPr>
        <w:t>冯家川乡冯家川村和冯家川神山村</w:t>
      </w:r>
      <w:r>
        <w:rPr>
          <w:rFonts w:cs="Times New Roman"/>
        </w:rPr>
        <w:t>等</w:t>
      </w:r>
      <w:r>
        <w:rPr>
          <w:rFonts w:hint="eastAsia" w:cs="Times New Roman"/>
          <w:lang w:val="en-US" w:eastAsia="zh-CN"/>
        </w:rPr>
        <w:t>5</w:t>
      </w:r>
      <w:r>
        <w:rPr>
          <w:rFonts w:cs="Times New Roman"/>
        </w:rPr>
        <w:t>个村庄建设小型污水分散处理设施，可采取政府适当补助，采用村级组织提供统一服务为主、农户积极履行治污责任的方式进行运维。</w:t>
      </w:r>
    </w:p>
    <w:p>
      <w:pPr>
        <w:ind w:firstLine="480"/>
        <w:rPr>
          <w:rFonts w:cs="Times New Roman"/>
        </w:rPr>
      </w:pPr>
      <w:r>
        <w:rPr>
          <w:rFonts w:cs="Times New Roman"/>
        </w:rPr>
        <w:t>分散处理模式一般污水量较少，设施贴近农户家庭，具有一定景观效果，而且处理工艺一般为生态法，不需要进行过多的人工干预，运行管理水平要求相对较低，如果委托专业机构，运行费用过高，资金来源难以保障。因此建议主要依托村民的自觉性进行污水处理设施的运营管理。这样使得设施日常维护管理较为方便，资金开支相对较少，同时明确行政村是设施运行管理的责任主体，有利于督促行政村干部对运行管理工作的重视。然而由于村民缺乏污水处理技术的专业知识，可能会对设施运行中出现的异常不能及时发现。因此，为保证污水处理设施的正常运行，县政府可组织对处理设施进行定期维护，统一对污水处理设施在春季进行一次维修；村镇可统一聘请若干专业人员，为农户提供技术指导和专业咨询，对村落或集镇管辖范围内的散户污水处理设施（如化粪池的定期清淘、生态处理单元的植物收割等）进行定期巡查；村庄也可指定专人，对散户的污水处理设施进行统一管理。</w:t>
      </w:r>
    </w:p>
    <w:p>
      <w:pPr>
        <w:pStyle w:val="7"/>
        <w:rPr>
          <w:rFonts w:ascii="Times New Roman" w:hAnsi="Times New Roman" w:cs="Times New Roman"/>
        </w:rPr>
      </w:pPr>
      <w:bookmarkStart w:id="52" w:name="_Toc43848824"/>
      <w:r>
        <w:rPr>
          <w:rFonts w:ascii="Times New Roman" w:hAnsi="Times New Roman" w:cs="Times New Roman"/>
        </w:rPr>
        <w:t>6.2 环境监管</w:t>
      </w:r>
      <w:bookmarkEnd w:id="52"/>
    </w:p>
    <w:p>
      <w:pPr>
        <w:ind w:firstLine="480"/>
        <w:rPr>
          <w:rFonts w:cs="Times New Roman"/>
        </w:rPr>
      </w:pPr>
      <w:r>
        <w:rPr>
          <w:rFonts w:cs="Times New Roman"/>
        </w:rPr>
        <w:t>依据《农业村污染治理攻坚战行动计划》（环土壤〔2018〕43号）中对日处理能力为20m</w:t>
      </w:r>
      <w:r>
        <w:rPr>
          <w:rFonts w:cs="Times New Roman"/>
          <w:vertAlign w:val="superscript"/>
        </w:rPr>
        <w:t>3</w:t>
      </w:r>
      <w:r>
        <w:rPr>
          <w:rFonts w:cs="Times New Roman"/>
        </w:rPr>
        <w:t>/d及以上的农村生活污水处理设施出水实行水质监测的要求，加强对杨家湾镇杨家湾村处理能力200吨/天的农村生活污水处理设施的出水水质监测，每年至少监测一次，确保出水水质达标；若出水水质不达标，应加大监测频次，及时查找问题并予以解决。</w:t>
      </w:r>
    </w:p>
    <w:p>
      <w:pPr>
        <w:spacing w:line="600" w:lineRule="exact"/>
        <w:ind w:firstLine="560"/>
        <w:rPr>
          <w:rFonts w:eastAsia="仿宋_GB2312" w:cs="Times New Roman"/>
          <w:sz w:val="28"/>
          <w:szCs w:val="28"/>
        </w:rPr>
        <w:sectPr>
          <w:pgSz w:w="11906" w:h="16838"/>
          <w:pgMar w:top="1361" w:right="1531" w:bottom="1361" w:left="1531" w:header="851" w:footer="992" w:gutter="0"/>
          <w:cols w:space="425" w:num="1"/>
          <w:docGrid w:type="lines" w:linePitch="326" w:charSpace="0"/>
        </w:sectPr>
      </w:pPr>
    </w:p>
    <w:p>
      <w:pPr>
        <w:pStyle w:val="5"/>
      </w:pPr>
      <w:bookmarkStart w:id="53" w:name="_Toc43848825"/>
      <w:r>
        <w:t>7 治理进程</w:t>
      </w:r>
      <w:bookmarkEnd w:id="53"/>
    </w:p>
    <w:p>
      <w:pPr>
        <w:ind w:firstLine="480"/>
        <w:rPr>
          <w:rFonts w:cs="Times New Roman"/>
        </w:rPr>
      </w:pPr>
      <w:r>
        <w:rPr>
          <w:rFonts w:cs="Times New Roman"/>
        </w:rPr>
        <w:t>污水治理工作分批次进行，近期治理规划年限为202</w:t>
      </w:r>
      <w:r>
        <w:rPr>
          <w:rFonts w:hint="eastAsia" w:cs="Times New Roman"/>
          <w:lang w:val="en-US" w:eastAsia="zh-CN"/>
        </w:rPr>
        <w:t>1</w:t>
      </w:r>
      <w:r>
        <w:rPr>
          <w:rFonts w:cs="Times New Roman"/>
        </w:rPr>
        <w:t>-2022年，远期治理规划年限为2023-2025年。</w:t>
      </w:r>
    </w:p>
    <w:p>
      <w:pPr>
        <w:ind w:firstLine="480"/>
        <w:rPr>
          <w:rFonts w:cs="Times New Roman"/>
        </w:rPr>
      </w:pPr>
      <w:r>
        <w:rPr>
          <w:rFonts w:cs="Times New Roman"/>
        </w:rPr>
        <w:t>本次规划需开展污水治理的村庄共1</w:t>
      </w:r>
      <w:r>
        <w:rPr>
          <w:rFonts w:hint="eastAsia" w:cs="Times New Roman"/>
          <w:lang w:val="en-US" w:eastAsia="zh-CN"/>
        </w:rPr>
        <w:t>1</w:t>
      </w:r>
      <w:r>
        <w:rPr>
          <w:rFonts w:cs="Times New Roman"/>
        </w:rPr>
        <w:t>个，根据环境敏感程度、人口数量、中心村、综合整治村庄</w:t>
      </w:r>
      <w:r>
        <w:rPr>
          <w:rFonts w:hint="eastAsia" w:cs="Times New Roman"/>
          <w:lang w:eastAsia="zh-CN"/>
        </w:rPr>
        <w:t>、</w:t>
      </w:r>
      <w:r>
        <w:rPr>
          <w:rFonts w:cs="Times New Roman"/>
        </w:rPr>
        <w:t>考核断面</w:t>
      </w:r>
      <w:r>
        <w:rPr>
          <w:rFonts w:hint="eastAsia" w:cs="Times New Roman"/>
          <w:lang w:eastAsia="zh-CN"/>
        </w:rPr>
        <w:t>及沿河三公里村庄</w:t>
      </w:r>
      <w:r>
        <w:rPr>
          <w:rFonts w:cs="Times New Roman"/>
        </w:rPr>
        <w:t>等因素，确定了不同治理村庄的优先等级，等级分为优先和一般。将等级为优先的村庄治理村庄作为近期治理目标，将等级为一般村庄的作为远期治理目标，详见表7-1。</w:t>
      </w:r>
    </w:p>
    <w:p>
      <w:pPr>
        <w:pStyle w:val="16"/>
        <w:ind w:firstLine="0" w:firstLineChars="0"/>
        <w:rPr>
          <w:rFonts w:eastAsia="黑体" w:cs="Times New Roman"/>
          <w:b w:val="0"/>
          <w:bCs/>
        </w:rPr>
      </w:pPr>
      <w:r>
        <w:rPr>
          <w:rFonts w:eastAsia="黑体" w:cs="Times New Roman"/>
          <w:b w:val="0"/>
          <w:bCs/>
        </w:rPr>
        <w:t>表7-1  村庄治理进程</w:t>
      </w:r>
    </w:p>
    <w:tbl>
      <w:tblPr>
        <w:tblStyle w:val="29"/>
        <w:tblW w:w="5000" w:type="pct"/>
        <w:jc w:val="center"/>
        <w:tblLayout w:type="autofit"/>
        <w:tblCellMar>
          <w:top w:w="0" w:type="dxa"/>
          <w:left w:w="108" w:type="dxa"/>
          <w:bottom w:w="0" w:type="dxa"/>
          <w:right w:w="108" w:type="dxa"/>
        </w:tblCellMar>
      </w:tblPr>
      <w:tblGrid>
        <w:gridCol w:w="744"/>
        <w:gridCol w:w="2080"/>
        <w:gridCol w:w="2078"/>
        <w:gridCol w:w="2078"/>
        <w:gridCol w:w="2080"/>
      </w:tblGrid>
      <w:tr>
        <w:tblPrEx>
          <w:tblCellMar>
            <w:top w:w="0" w:type="dxa"/>
            <w:left w:w="108" w:type="dxa"/>
            <w:bottom w:w="0" w:type="dxa"/>
            <w:right w:w="108" w:type="dxa"/>
          </w:tblCellMar>
        </w:tblPrEx>
        <w:trPr>
          <w:trHeight w:val="351" w:hRule="atLeast"/>
          <w:tblHeader/>
          <w:jc w:val="center"/>
        </w:trPr>
        <w:tc>
          <w:tcPr>
            <w:tcW w:w="411"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序号</w:t>
            </w:r>
          </w:p>
        </w:tc>
        <w:tc>
          <w:tcPr>
            <w:tcW w:w="1147"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乡镇</w:t>
            </w:r>
          </w:p>
        </w:tc>
        <w:tc>
          <w:tcPr>
            <w:tcW w:w="114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1146" w:type="pct"/>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优先等级</w:t>
            </w:r>
          </w:p>
        </w:tc>
        <w:tc>
          <w:tcPr>
            <w:tcW w:w="1147"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治理时限</w:t>
            </w:r>
          </w:p>
        </w:tc>
      </w:tr>
      <w:tr>
        <w:tblPrEx>
          <w:tblCellMar>
            <w:top w:w="0" w:type="dxa"/>
            <w:left w:w="108" w:type="dxa"/>
            <w:bottom w:w="0" w:type="dxa"/>
            <w:right w:w="108" w:type="dxa"/>
          </w:tblCellMar>
        </w:tblPrEx>
        <w:trPr>
          <w:trHeight w:val="301" w:hRule="atLeast"/>
          <w:jc w:val="center"/>
        </w:trPr>
        <w:tc>
          <w:tcPr>
            <w:tcW w:w="411"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1</w:t>
            </w:r>
          </w:p>
        </w:tc>
        <w:tc>
          <w:tcPr>
            <w:tcW w:w="11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114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郭家滩村</w:t>
            </w:r>
          </w:p>
        </w:tc>
        <w:tc>
          <w:tcPr>
            <w:tcW w:w="114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优先</w:t>
            </w:r>
          </w:p>
        </w:tc>
        <w:tc>
          <w:tcPr>
            <w:tcW w:w="1147"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近期</w:t>
            </w:r>
          </w:p>
        </w:tc>
      </w:tr>
      <w:tr>
        <w:tblPrEx>
          <w:tblCellMar>
            <w:top w:w="0" w:type="dxa"/>
            <w:left w:w="108" w:type="dxa"/>
            <w:bottom w:w="0" w:type="dxa"/>
            <w:right w:w="108" w:type="dxa"/>
          </w:tblCellMar>
        </w:tblPrEx>
        <w:trPr>
          <w:trHeight w:val="301" w:hRule="atLeast"/>
          <w:jc w:val="center"/>
        </w:trPr>
        <w:tc>
          <w:tcPr>
            <w:tcW w:w="411"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2</w:t>
            </w:r>
          </w:p>
        </w:tc>
        <w:tc>
          <w:tcPr>
            <w:tcW w:w="11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114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铁匠铺村</w:t>
            </w:r>
          </w:p>
        </w:tc>
        <w:tc>
          <w:tcPr>
            <w:tcW w:w="114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优先</w:t>
            </w:r>
          </w:p>
        </w:tc>
        <w:tc>
          <w:tcPr>
            <w:tcW w:w="1147"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近期</w:t>
            </w:r>
          </w:p>
        </w:tc>
      </w:tr>
      <w:tr>
        <w:tblPrEx>
          <w:tblCellMar>
            <w:top w:w="0" w:type="dxa"/>
            <w:left w:w="108" w:type="dxa"/>
            <w:bottom w:w="0" w:type="dxa"/>
            <w:right w:w="108" w:type="dxa"/>
          </w:tblCellMar>
        </w:tblPrEx>
        <w:trPr>
          <w:trHeight w:val="301" w:hRule="atLeast"/>
          <w:jc w:val="center"/>
        </w:trPr>
        <w:tc>
          <w:tcPr>
            <w:tcW w:w="411"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3</w:t>
            </w:r>
          </w:p>
        </w:tc>
        <w:tc>
          <w:tcPr>
            <w:tcW w:w="11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114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马家滩</w:t>
            </w:r>
            <w:r>
              <w:rPr>
                <w:rFonts w:cs="Times New Roman"/>
                <w:sz w:val="21"/>
                <w:szCs w:val="21"/>
              </w:rPr>
              <w:t>村</w:t>
            </w:r>
          </w:p>
        </w:tc>
        <w:tc>
          <w:tcPr>
            <w:tcW w:w="114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优先</w:t>
            </w:r>
          </w:p>
        </w:tc>
        <w:tc>
          <w:tcPr>
            <w:tcW w:w="1147"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近期</w:t>
            </w:r>
          </w:p>
        </w:tc>
      </w:tr>
      <w:tr>
        <w:tblPrEx>
          <w:tblCellMar>
            <w:top w:w="0" w:type="dxa"/>
            <w:left w:w="108" w:type="dxa"/>
            <w:bottom w:w="0" w:type="dxa"/>
            <w:right w:w="108" w:type="dxa"/>
          </w:tblCellMar>
        </w:tblPrEx>
        <w:trPr>
          <w:trHeight w:val="301" w:hRule="atLeast"/>
          <w:jc w:val="center"/>
        </w:trPr>
        <w:tc>
          <w:tcPr>
            <w:tcW w:w="411"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4</w:t>
            </w:r>
          </w:p>
        </w:tc>
        <w:tc>
          <w:tcPr>
            <w:tcW w:w="11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114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王家滩村</w:t>
            </w:r>
          </w:p>
        </w:tc>
        <w:tc>
          <w:tcPr>
            <w:tcW w:w="114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一般</w:t>
            </w:r>
          </w:p>
        </w:tc>
        <w:tc>
          <w:tcPr>
            <w:tcW w:w="1147"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远期</w:t>
            </w:r>
          </w:p>
        </w:tc>
      </w:tr>
      <w:tr>
        <w:tblPrEx>
          <w:tblCellMar>
            <w:top w:w="0" w:type="dxa"/>
            <w:left w:w="108" w:type="dxa"/>
            <w:bottom w:w="0" w:type="dxa"/>
            <w:right w:w="108" w:type="dxa"/>
          </w:tblCellMar>
        </w:tblPrEx>
        <w:trPr>
          <w:trHeight w:val="301" w:hRule="atLeast"/>
          <w:jc w:val="center"/>
        </w:trPr>
        <w:tc>
          <w:tcPr>
            <w:tcW w:w="411"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5</w:t>
            </w:r>
          </w:p>
        </w:tc>
        <w:tc>
          <w:tcPr>
            <w:tcW w:w="11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114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张家圪塔村</w:t>
            </w:r>
          </w:p>
        </w:tc>
        <w:tc>
          <w:tcPr>
            <w:tcW w:w="114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一般</w:t>
            </w:r>
          </w:p>
        </w:tc>
        <w:tc>
          <w:tcPr>
            <w:tcW w:w="1147"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远期</w:t>
            </w:r>
          </w:p>
        </w:tc>
      </w:tr>
      <w:tr>
        <w:tblPrEx>
          <w:tblCellMar>
            <w:top w:w="0" w:type="dxa"/>
            <w:left w:w="108" w:type="dxa"/>
            <w:bottom w:w="0" w:type="dxa"/>
            <w:right w:w="108" w:type="dxa"/>
          </w:tblCellMar>
        </w:tblPrEx>
        <w:trPr>
          <w:trHeight w:val="301" w:hRule="atLeast"/>
          <w:jc w:val="center"/>
        </w:trPr>
        <w:tc>
          <w:tcPr>
            <w:tcW w:w="411"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eastAsia="宋体" w:cs="Times New Roman"/>
                <w:sz w:val="21"/>
                <w:szCs w:val="21"/>
                <w:lang w:val="en-US" w:eastAsia="zh-CN"/>
              </w:rPr>
            </w:pPr>
            <w:r>
              <w:rPr>
                <w:rFonts w:hint="eastAsia" w:cs="Times New Roman"/>
                <w:sz w:val="21"/>
                <w:szCs w:val="21"/>
                <w:lang w:val="en-US" w:eastAsia="zh-CN"/>
              </w:rPr>
              <w:t>6</w:t>
            </w:r>
          </w:p>
        </w:tc>
        <w:tc>
          <w:tcPr>
            <w:tcW w:w="11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cs="Times New Roman"/>
                <w:sz w:val="21"/>
                <w:szCs w:val="21"/>
              </w:rPr>
              <w:t>杨家湾镇</w:t>
            </w:r>
          </w:p>
        </w:tc>
        <w:tc>
          <w:tcPr>
            <w:tcW w:w="114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cs="Times New Roman"/>
                <w:sz w:val="21"/>
                <w:szCs w:val="21"/>
              </w:rPr>
              <w:t>花园村</w:t>
            </w:r>
          </w:p>
        </w:tc>
        <w:tc>
          <w:tcPr>
            <w:tcW w:w="1146" w:type="pct"/>
            <w:tcBorders>
              <w:top w:val="single" w:color="auto" w:sz="4" w:space="0"/>
              <w:left w:val="nil"/>
              <w:bottom w:val="single" w:color="auto" w:sz="4" w:space="0"/>
              <w:right w:val="single" w:color="auto" w:sz="4" w:space="0"/>
            </w:tcBorders>
            <w:vAlign w:val="top"/>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cs="Times New Roman"/>
                <w:sz w:val="21"/>
                <w:szCs w:val="21"/>
              </w:rPr>
              <w:t>优先</w:t>
            </w:r>
          </w:p>
        </w:tc>
        <w:tc>
          <w:tcPr>
            <w:tcW w:w="1147" w:type="pct"/>
            <w:tcBorders>
              <w:top w:val="nil"/>
              <w:left w:val="single" w:color="auto" w:sz="4" w:space="0"/>
              <w:bottom w:val="single" w:color="auto" w:sz="4" w:space="0"/>
              <w:right w:val="single" w:color="auto" w:sz="4" w:space="0"/>
            </w:tcBorders>
            <w:vAlign w:val="top"/>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cs="Times New Roman"/>
                <w:sz w:val="21"/>
                <w:szCs w:val="21"/>
              </w:rPr>
              <w:t>近期</w:t>
            </w:r>
          </w:p>
        </w:tc>
      </w:tr>
      <w:tr>
        <w:tblPrEx>
          <w:tblCellMar>
            <w:top w:w="0" w:type="dxa"/>
            <w:left w:w="108" w:type="dxa"/>
            <w:bottom w:w="0" w:type="dxa"/>
            <w:right w:w="108" w:type="dxa"/>
          </w:tblCellMar>
        </w:tblPrEx>
        <w:trPr>
          <w:trHeight w:val="301" w:hRule="atLeast"/>
          <w:jc w:val="center"/>
        </w:trPr>
        <w:tc>
          <w:tcPr>
            <w:tcW w:w="411"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eastAsia="宋体" w:cs="Times New Roman"/>
                <w:sz w:val="21"/>
                <w:szCs w:val="21"/>
                <w:lang w:eastAsia="zh-CN"/>
              </w:rPr>
            </w:pPr>
            <w:r>
              <w:rPr>
                <w:rFonts w:hint="eastAsia" w:cs="Times New Roman"/>
                <w:sz w:val="21"/>
                <w:szCs w:val="21"/>
                <w:lang w:val="en-US" w:eastAsia="zh-CN"/>
              </w:rPr>
              <w:t>7</w:t>
            </w:r>
          </w:p>
        </w:tc>
        <w:tc>
          <w:tcPr>
            <w:tcW w:w="11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义门镇</w:t>
            </w:r>
          </w:p>
        </w:tc>
        <w:tc>
          <w:tcPr>
            <w:tcW w:w="114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刘家畔村</w:t>
            </w:r>
          </w:p>
        </w:tc>
        <w:tc>
          <w:tcPr>
            <w:tcW w:w="114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eastAsia" w:eastAsia="宋体" w:cs="Times New Roman"/>
                <w:sz w:val="21"/>
                <w:szCs w:val="21"/>
                <w:lang w:eastAsia="zh-CN"/>
              </w:rPr>
            </w:pPr>
            <w:r>
              <w:rPr>
                <w:rFonts w:hint="eastAsia" w:cs="Times New Roman"/>
                <w:sz w:val="21"/>
                <w:szCs w:val="21"/>
                <w:lang w:eastAsia="zh-CN"/>
              </w:rPr>
              <w:t>一般</w:t>
            </w:r>
          </w:p>
        </w:tc>
        <w:tc>
          <w:tcPr>
            <w:tcW w:w="1147"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lang w:eastAsia="zh-CN"/>
              </w:rPr>
              <w:t>远</w:t>
            </w:r>
            <w:r>
              <w:rPr>
                <w:rFonts w:cs="Times New Roman"/>
                <w:sz w:val="21"/>
                <w:szCs w:val="21"/>
              </w:rPr>
              <w:t>期</w:t>
            </w:r>
          </w:p>
        </w:tc>
      </w:tr>
      <w:tr>
        <w:tblPrEx>
          <w:tblCellMar>
            <w:top w:w="0" w:type="dxa"/>
            <w:left w:w="108" w:type="dxa"/>
            <w:bottom w:w="0" w:type="dxa"/>
            <w:right w:w="108" w:type="dxa"/>
          </w:tblCellMar>
        </w:tblPrEx>
        <w:trPr>
          <w:trHeight w:val="301" w:hRule="atLeast"/>
          <w:jc w:val="center"/>
        </w:trPr>
        <w:tc>
          <w:tcPr>
            <w:tcW w:w="411"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eastAsia="宋体" w:cs="Times New Roman"/>
                <w:sz w:val="21"/>
                <w:szCs w:val="21"/>
                <w:lang w:eastAsia="zh-CN"/>
              </w:rPr>
            </w:pPr>
            <w:r>
              <w:rPr>
                <w:rFonts w:hint="eastAsia" w:cs="Times New Roman"/>
                <w:sz w:val="21"/>
                <w:szCs w:val="21"/>
                <w:lang w:val="en-US" w:eastAsia="zh-CN"/>
              </w:rPr>
              <w:t>8</w:t>
            </w:r>
          </w:p>
        </w:tc>
        <w:tc>
          <w:tcPr>
            <w:tcW w:w="11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桥头镇</w:t>
            </w:r>
          </w:p>
        </w:tc>
        <w:tc>
          <w:tcPr>
            <w:tcW w:w="114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夏柳青村</w:t>
            </w:r>
          </w:p>
        </w:tc>
        <w:tc>
          <w:tcPr>
            <w:tcW w:w="114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优先</w:t>
            </w:r>
          </w:p>
        </w:tc>
        <w:tc>
          <w:tcPr>
            <w:tcW w:w="1147" w:type="pct"/>
            <w:tcBorders>
              <w:top w:val="nil"/>
              <w:left w:val="single" w:color="auto" w:sz="4" w:space="0"/>
              <w:bottom w:val="single" w:color="auto" w:sz="4" w:space="0"/>
              <w:right w:val="single" w:color="auto" w:sz="4" w:space="0"/>
            </w:tcBorders>
          </w:tcPr>
          <w:p>
            <w:pPr>
              <w:spacing w:line="240" w:lineRule="auto"/>
              <w:ind w:firstLine="0" w:firstLineChars="0"/>
              <w:jc w:val="center"/>
              <w:rPr>
                <w:rFonts w:cs="Times New Roman"/>
                <w:sz w:val="21"/>
                <w:szCs w:val="21"/>
              </w:rPr>
            </w:pPr>
            <w:r>
              <w:rPr>
                <w:rFonts w:hint="eastAsia" w:cs="Times New Roman"/>
                <w:sz w:val="21"/>
                <w:szCs w:val="21"/>
              </w:rPr>
              <w:t>近期</w:t>
            </w:r>
          </w:p>
        </w:tc>
      </w:tr>
      <w:tr>
        <w:tblPrEx>
          <w:tblCellMar>
            <w:top w:w="0" w:type="dxa"/>
            <w:left w:w="108" w:type="dxa"/>
            <w:bottom w:w="0" w:type="dxa"/>
            <w:right w:w="108" w:type="dxa"/>
          </w:tblCellMar>
        </w:tblPrEx>
        <w:trPr>
          <w:trHeight w:val="301" w:hRule="atLeast"/>
          <w:jc w:val="center"/>
        </w:trPr>
        <w:tc>
          <w:tcPr>
            <w:tcW w:w="411" w:type="pct"/>
            <w:tcBorders>
              <w:top w:val="nil"/>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eastAsia="宋体" w:cs="Times New Roman"/>
                <w:sz w:val="21"/>
                <w:szCs w:val="21"/>
                <w:lang w:val="en-US" w:eastAsia="zh-CN"/>
              </w:rPr>
            </w:pPr>
            <w:r>
              <w:rPr>
                <w:rFonts w:hint="eastAsia" w:cs="Times New Roman"/>
                <w:sz w:val="21"/>
                <w:szCs w:val="21"/>
                <w:lang w:val="en-US" w:eastAsia="zh-CN"/>
              </w:rPr>
              <w:t>9</w:t>
            </w:r>
          </w:p>
        </w:tc>
        <w:tc>
          <w:tcPr>
            <w:tcW w:w="1147"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腰庄乡</w:t>
            </w:r>
          </w:p>
        </w:tc>
        <w:tc>
          <w:tcPr>
            <w:tcW w:w="1146"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腰庄村</w:t>
            </w:r>
          </w:p>
        </w:tc>
        <w:tc>
          <w:tcPr>
            <w:tcW w:w="114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一般</w:t>
            </w:r>
          </w:p>
        </w:tc>
        <w:tc>
          <w:tcPr>
            <w:tcW w:w="1147"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远期</w:t>
            </w:r>
          </w:p>
        </w:tc>
      </w:tr>
      <w:tr>
        <w:tblPrEx>
          <w:tblCellMar>
            <w:top w:w="0" w:type="dxa"/>
            <w:left w:w="108" w:type="dxa"/>
            <w:bottom w:w="0" w:type="dxa"/>
            <w:right w:w="108" w:type="dxa"/>
          </w:tblCellMar>
        </w:tblPrEx>
        <w:trPr>
          <w:trHeight w:val="301" w:hRule="atLeast"/>
          <w:jc w:val="center"/>
        </w:trPr>
        <w:tc>
          <w:tcPr>
            <w:tcW w:w="411"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eastAsia="宋体" w:cs="Times New Roman"/>
                <w:sz w:val="21"/>
                <w:szCs w:val="21"/>
                <w:lang w:eastAsia="zh-CN"/>
              </w:rPr>
            </w:pPr>
            <w:r>
              <w:rPr>
                <w:rFonts w:cs="Times New Roman"/>
                <w:sz w:val="21"/>
                <w:szCs w:val="21"/>
              </w:rPr>
              <w:t>1</w:t>
            </w:r>
            <w:r>
              <w:rPr>
                <w:rFonts w:hint="eastAsia" w:cs="Times New Roman"/>
                <w:sz w:val="21"/>
                <w:szCs w:val="21"/>
                <w:lang w:val="en-US" w:eastAsia="zh-CN"/>
              </w:rPr>
              <w:t>0</w:t>
            </w:r>
          </w:p>
        </w:tc>
        <w:tc>
          <w:tcPr>
            <w:tcW w:w="1147" w:type="pct"/>
            <w:tcBorders>
              <w:top w:val="single" w:color="auto" w:sz="4" w:space="0"/>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冯家川乡</w:t>
            </w:r>
          </w:p>
        </w:tc>
        <w:tc>
          <w:tcPr>
            <w:tcW w:w="1146" w:type="pct"/>
            <w:tcBorders>
              <w:top w:val="single" w:color="auto" w:sz="4" w:space="0"/>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冯家川</w:t>
            </w:r>
            <w:r>
              <w:rPr>
                <w:rFonts w:cs="Times New Roman"/>
                <w:sz w:val="21"/>
                <w:szCs w:val="21"/>
              </w:rPr>
              <w:t>村</w:t>
            </w:r>
          </w:p>
        </w:tc>
        <w:tc>
          <w:tcPr>
            <w:tcW w:w="1146" w:type="pct"/>
            <w:tcBorders>
              <w:top w:val="single" w:color="auto" w:sz="4" w:space="0"/>
              <w:left w:val="nil"/>
              <w:bottom w:val="single" w:color="auto" w:sz="4" w:space="0"/>
              <w:right w:val="single" w:color="auto" w:sz="4" w:space="0"/>
            </w:tcBorders>
          </w:tcPr>
          <w:p>
            <w:pPr>
              <w:spacing w:line="240" w:lineRule="auto"/>
              <w:ind w:firstLine="0" w:firstLineChars="0"/>
              <w:jc w:val="center"/>
              <w:rPr>
                <w:rFonts w:cs="Times New Roman"/>
                <w:sz w:val="21"/>
                <w:szCs w:val="21"/>
              </w:rPr>
            </w:pPr>
            <w:r>
              <w:rPr>
                <w:rFonts w:hint="eastAsia" w:cs="Times New Roman"/>
                <w:sz w:val="21"/>
                <w:szCs w:val="21"/>
              </w:rPr>
              <w:t>一般</w:t>
            </w:r>
          </w:p>
        </w:tc>
        <w:tc>
          <w:tcPr>
            <w:tcW w:w="114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hint="eastAsia" w:cs="Times New Roman"/>
                <w:sz w:val="21"/>
                <w:szCs w:val="21"/>
              </w:rPr>
              <w:t>远期</w:t>
            </w:r>
          </w:p>
        </w:tc>
      </w:tr>
      <w:tr>
        <w:tblPrEx>
          <w:tblCellMar>
            <w:top w:w="0" w:type="dxa"/>
            <w:left w:w="108" w:type="dxa"/>
            <w:bottom w:w="0" w:type="dxa"/>
            <w:right w:w="108" w:type="dxa"/>
          </w:tblCellMar>
        </w:tblPrEx>
        <w:trPr>
          <w:trHeight w:val="301" w:hRule="atLeast"/>
          <w:jc w:val="center"/>
        </w:trPr>
        <w:tc>
          <w:tcPr>
            <w:tcW w:w="411"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eastAsia" w:eastAsia="宋体" w:cs="Times New Roman"/>
                <w:sz w:val="21"/>
                <w:szCs w:val="21"/>
                <w:lang w:eastAsia="zh-CN"/>
              </w:rPr>
            </w:pPr>
            <w:r>
              <w:rPr>
                <w:rFonts w:cs="Times New Roman"/>
                <w:sz w:val="21"/>
                <w:szCs w:val="21"/>
              </w:rPr>
              <w:t>1</w:t>
            </w:r>
            <w:r>
              <w:rPr>
                <w:rFonts w:hint="eastAsia" w:cs="Times New Roman"/>
                <w:sz w:val="21"/>
                <w:szCs w:val="21"/>
                <w:lang w:val="en-US" w:eastAsia="zh-CN"/>
              </w:rPr>
              <w:t>1</w:t>
            </w:r>
          </w:p>
        </w:tc>
        <w:tc>
          <w:tcPr>
            <w:tcW w:w="1147" w:type="pct"/>
            <w:tcBorders>
              <w:top w:val="single" w:color="auto" w:sz="4" w:space="0"/>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冯家川乡</w:t>
            </w:r>
          </w:p>
        </w:tc>
        <w:tc>
          <w:tcPr>
            <w:tcW w:w="1146" w:type="pct"/>
            <w:tcBorders>
              <w:top w:val="single" w:color="auto" w:sz="4" w:space="0"/>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神山村</w:t>
            </w:r>
          </w:p>
        </w:tc>
        <w:tc>
          <w:tcPr>
            <w:tcW w:w="114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一般</w:t>
            </w:r>
          </w:p>
        </w:tc>
        <w:tc>
          <w:tcPr>
            <w:tcW w:w="114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1"/>
              </w:rPr>
            </w:pPr>
            <w:r>
              <w:rPr>
                <w:rFonts w:cs="Times New Roman"/>
                <w:sz w:val="21"/>
                <w:szCs w:val="21"/>
              </w:rPr>
              <w:t>远期</w:t>
            </w:r>
          </w:p>
        </w:tc>
      </w:tr>
    </w:tbl>
    <w:p>
      <w:pPr>
        <w:spacing w:line="240" w:lineRule="auto"/>
        <w:ind w:firstLine="420"/>
        <w:rPr>
          <w:rFonts w:cs="Times New Roman"/>
          <w:sz w:val="21"/>
        </w:rPr>
      </w:pPr>
      <w:r>
        <w:rPr>
          <w:rFonts w:cs="Times New Roman"/>
          <w:sz w:val="21"/>
        </w:rPr>
        <w:t>备注：优先等级划分过程详见表4-4。</w:t>
      </w:r>
    </w:p>
    <w:p>
      <w:pPr>
        <w:ind w:firstLine="480"/>
        <w:rPr>
          <w:rFonts w:cs="Times New Roman"/>
        </w:rPr>
      </w:pPr>
      <w:r>
        <w:rPr>
          <w:rFonts w:cs="Times New Roman"/>
        </w:rPr>
        <w:t>基于上述开展目标，202</w:t>
      </w:r>
      <w:r>
        <w:rPr>
          <w:rFonts w:hint="eastAsia" w:cs="Times New Roman"/>
          <w:lang w:val="en-US" w:eastAsia="zh-CN"/>
        </w:rPr>
        <w:t>1</w:t>
      </w:r>
      <w:r>
        <w:rPr>
          <w:rFonts w:cs="Times New Roman"/>
        </w:rPr>
        <w:t>-2022年可新完成污水治理村庄</w:t>
      </w:r>
      <w:r>
        <w:rPr>
          <w:rFonts w:hint="eastAsia" w:cs="Times New Roman"/>
          <w:lang w:val="en-US" w:eastAsia="zh-CN"/>
        </w:rPr>
        <w:t>5</w:t>
      </w:r>
      <w:r>
        <w:rPr>
          <w:rFonts w:cs="Times New Roman"/>
        </w:rPr>
        <w:t>个，2023-2025年可完成污水治理村庄</w:t>
      </w:r>
      <w:r>
        <w:rPr>
          <w:rFonts w:hint="eastAsia" w:cs="Times New Roman"/>
          <w:lang w:val="en-US" w:eastAsia="zh-CN"/>
        </w:rPr>
        <w:t>6</w:t>
      </w:r>
      <w:r>
        <w:rPr>
          <w:rFonts w:cs="Times New Roman"/>
        </w:rPr>
        <w:t>个。农村生活污水治理作为一项重要的农村环境综合整治任务，可优先将本次规划治理的1</w:t>
      </w:r>
      <w:r>
        <w:rPr>
          <w:rFonts w:hint="eastAsia" w:cs="Times New Roman"/>
          <w:lang w:val="en-US" w:eastAsia="zh-CN"/>
        </w:rPr>
        <w:t>1</w:t>
      </w:r>
      <w:r>
        <w:rPr>
          <w:rFonts w:cs="Times New Roman"/>
        </w:rPr>
        <w:t>个村庄纳入到农村环境综合整治的村庄中，同步开展污水治理以及垃圾治理等相关的农村环境整治工作。</w:t>
      </w:r>
    </w:p>
    <w:p>
      <w:pPr>
        <w:ind w:firstLine="480"/>
        <w:rPr>
          <w:rFonts w:cs="Times New Roman"/>
        </w:rPr>
      </w:pPr>
    </w:p>
    <w:p>
      <w:pPr>
        <w:ind w:firstLine="480"/>
        <w:rPr>
          <w:rFonts w:cs="Times New Roman"/>
        </w:rPr>
      </w:pPr>
    </w:p>
    <w:p>
      <w:pPr>
        <w:spacing w:line="240" w:lineRule="auto"/>
        <w:ind w:firstLine="420"/>
        <w:rPr>
          <w:rFonts w:cs="Times New Roman"/>
          <w:sz w:val="21"/>
        </w:rPr>
      </w:pPr>
    </w:p>
    <w:p>
      <w:pPr>
        <w:pStyle w:val="5"/>
      </w:pPr>
      <w:bookmarkStart w:id="54" w:name="_Toc43848826"/>
      <w:r>
        <w:t>8 工程估算与资金筹措</w:t>
      </w:r>
      <w:bookmarkEnd w:id="54"/>
    </w:p>
    <w:p>
      <w:pPr>
        <w:pStyle w:val="7"/>
        <w:rPr>
          <w:rFonts w:ascii="Times New Roman" w:hAnsi="Times New Roman" w:cs="Times New Roman"/>
        </w:rPr>
      </w:pPr>
      <w:bookmarkStart w:id="55" w:name="_Toc43848827"/>
      <w:r>
        <w:rPr>
          <w:rFonts w:ascii="Times New Roman" w:hAnsi="Times New Roman" w:cs="Times New Roman"/>
        </w:rPr>
        <w:t>8.1 投资估算</w:t>
      </w:r>
      <w:bookmarkEnd w:id="55"/>
    </w:p>
    <w:p>
      <w:pPr>
        <w:ind w:firstLine="480"/>
        <w:rPr>
          <w:rFonts w:cs="Times New Roman"/>
        </w:rPr>
      </w:pPr>
      <w:r>
        <w:rPr>
          <w:rFonts w:cs="Times New Roman"/>
        </w:rPr>
        <w:t>结合《农村生活污水处理项目建设与投资指南》（环发〔2013〕130号），估算规划期内投资需求。保德县农村生活污水专项规划总投资</w:t>
      </w:r>
      <w:r>
        <w:rPr>
          <w:rFonts w:hint="eastAsia" w:cs="Times New Roman"/>
          <w:lang w:val="en-US" w:eastAsia="zh-CN"/>
        </w:rPr>
        <w:t>3863.692</w:t>
      </w:r>
      <w:r>
        <w:rPr>
          <w:rFonts w:cs="Times New Roman"/>
        </w:rPr>
        <w:t>万元，近期投资</w:t>
      </w:r>
      <w:r>
        <w:rPr>
          <w:rFonts w:hint="eastAsia" w:cs="Times New Roman"/>
          <w:lang w:val="en-US" w:eastAsia="zh-CN"/>
        </w:rPr>
        <w:t>3156.288</w:t>
      </w:r>
      <w:r>
        <w:rPr>
          <w:rFonts w:cs="Times New Roman"/>
        </w:rPr>
        <w:t>万元，远期投资</w:t>
      </w:r>
      <w:r>
        <w:rPr>
          <w:rFonts w:hint="eastAsia" w:cs="Times New Roman"/>
          <w:lang w:val="en-US" w:eastAsia="zh-CN"/>
        </w:rPr>
        <w:t>707.404</w:t>
      </w:r>
      <w:r>
        <w:rPr>
          <w:rFonts w:cs="Times New Roman"/>
        </w:rPr>
        <w:t>万元，具体见表8-1、表8-2、表8-3、表8-4。</w:t>
      </w:r>
    </w:p>
    <w:p>
      <w:pPr>
        <w:pStyle w:val="16"/>
        <w:ind w:firstLine="0" w:firstLineChars="0"/>
        <w:rPr>
          <w:rFonts w:eastAsia="黑体" w:cs="Times New Roman"/>
          <w:b w:val="0"/>
          <w:bCs/>
        </w:rPr>
      </w:pPr>
      <w:r>
        <w:rPr>
          <w:rFonts w:eastAsia="黑体" w:cs="Times New Roman"/>
          <w:b w:val="0"/>
          <w:bCs/>
        </w:rPr>
        <w:t>表8-1 总投资（按工程分类）</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4798"/>
        <w:gridCol w:w="30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序号</w:t>
            </w:r>
          </w:p>
        </w:tc>
        <w:tc>
          <w:tcPr>
            <w:tcW w:w="4798" w:type="dxa"/>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工程</w:t>
            </w:r>
          </w:p>
        </w:tc>
        <w:tc>
          <w:tcPr>
            <w:tcW w:w="3020" w:type="dxa"/>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总投资（万）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1</w:t>
            </w:r>
          </w:p>
        </w:tc>
        <w:tc>
          <w:tcPr>
            <w:tcW w:w="4798" w:type="dxa"/>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污水处理设施建设</w:t>
            </w:r>
          </w:p>
        </w:tc>
        <w:tc>
          <w:tcPr>
            <w:tcW w:w="3020" w:type="dxa"/>
            <w:vAlign w:val="center"/>
          </w:tcPr>
          <w:p>
            <w:pPr>
              <w:widowControl/>
              <w:spacing w:line="240" w:lineRule="auto"/>
              <w:ind w:firstLine="0" w:firstLineChars="0"/>
              <w:jc w:val="center"/>
              <w:rPr>
                <w:rFonts w:hint="default" w:eastAsia="黑体" w:cs="Times New Roman"/>
                <w:kern w:val="0"/>
                <w:sz w:val="21"/>
                <w:szCs w:val="21"/>
                <w:lang w:val="en-US" w:eastAsia="zh-CN"/>
              </w:rPr>
            </w:pPr>
            <w:r>
              <w:rPr>
                <w:rFonts w:hint="eastAsia" w:eastAsia="黑体" w:cs="Times New Roman"/>
                <w:kern w:val="0"/>
                <w:sz w:val="21"/>
                <w:szCs w:val="21"/>
                <w:lang w:val="en-US" w:eastAsia="zh-CN"/>
              </w:rPr>
              <w:t>792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2</w:t>
            </w:r>
          </w:p>
        </w:tc>
        <w:tc>
          <w:tcPr>
            <w:tcW w:w="4798" w:type="dxa"/>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管网工程</w:t>
            </w:r>
          </w:p>
        </w:tc>
        <w:tc>
          <w:tcPr>
            <w:tcW w:w="3020" w:type="dxa"/>
            <w:vAlign w:val="center"/>
          </w:tcPr>
          <w:p>
            <w:pPr>
              <w:widowControl/>
              <w:spacing w:line="240" w:lineRule="auto"/>
              <w:ind w:firstLine="0" w:firstLineChars="0"/>
              <w:jc w:val="center"/>
              <w:rPr>
                <w:rFonts w:hint="default" w:eastAsia="黑体" w:cs="Times New Roman"/>
                <w:kern w:val="0"/>
                <w:sz w:val="21"/>
                <w:szCs w:val="21"/>
                <w:lang w:val="en-US" w:eastAsia="zh-CN"/>
              </w:rPr>
            </w:pPr>
            <w:r>
              <w:rPr>
                <w:rFonts w:hint="eastAsia" w:eastAsia="黑体" w:cs="Times New Roman"/>
                <w:kern w:val="0"/>
                <w:sz w:val="21"/>
                <w:szCs w:val="21"/>
                <w:lang w:val="en-US" w:eastAsia="zh-CN"/>
              </w:rPr>
              <w:t>3071.692</w:t>
            </w:r>
          </w:p>
        </w:tc>
      </w:tr>
    </w:tbl>
    <w:p>
      <w:pPr>
        <w:pStyle w:val="16"/>
        <w:ind w:firstLine="0" w:firstLineChars="0"/>
        <w:rPr>
          <w:rFonts w:eastAsia="黑体" w:cs="Times New Roman"/>
          <w:b w:val="0"/>
          <w:bCs/>
        </w:rPr>
      </w:pPr>
      <w:r>
        <w:rPr>
          <w:rFonts w:eastAsia="黑体" w:cs="Times New Roman"/>
          <w:b w:val="0"/>
          <w:bCs/>
        </w:rPr>
        <w:t>表8-2 总投资（按治理模式分类）</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4798"/>
        <w:gridCol w:w="30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序号</w:t>
            </w:r>
          </w:p>
        </w:tc>
        <w:tc>
          <w:tcPr>
            <w:tcW w:w="4798" w:type="dxa"/>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治理模式</w:t>
            </w:r>
          </w:p>
        </w:tc>
        <w:tc>
          <w:tcPr>
            <w:tcW w:w="3020" w:type="dxa"/>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总投资（万）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1</w:t>
            </w:r>
          </w:p>
        </w:tc>
        <w:tc>
          <w:tcPr>
            <w:tcW w:w="4798" w:type="dxa"/>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纳入城镇污水管网</w:t>
            </w:r>
          </w:p>
        </w:tc>
        <w:tc>
          <w:tcPr>
            <w:tcW w:w="3020" w:type="dxa"/>
            <w:vAlign w:val="center"/>
          </w:tcPr>
          <w:p>
            <w:pPr>
              <w:widowControl/>
              <w:spacing w:line="240" w:lineRule="auto"/>
              <w:ind w:firstLine="0" w:firstLineChars="0"/>
              <w:jc w:val="center"/>
              <w:rPr>
                <w:rFonts w:hint="default" w:eastAsia="黑体" w:cs="Times New Roman"/>
                <w:kern w:val="0"/>
                <w:sz w:val="21"/>
                <w:szCs w:val="21"/>
                <w:lang w:val="en-US" w:eastAsia="zh-CN"/>
              </w:rPr>
            </w:pPr>
            <w:r>
              <w:rPr>
                <w:rFonts w:hint="eastAsia" w:eastAsia="黑体" w:cs="Times New Roman"/>
                <w:kern w:val="0"/>
                <w:sz w:val="21"/>
                <w:szCs w:val="21"/>
                <w:lang w:val="en-US" w:eastAsia="zh-CN"/>
              </w:rPr>
              <w:t>2745.804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2</w:t>
            </w:r>
          </w:p>
        </w:tc>
        <w:tc>
          <w:tcPr>
            <w:tcW w:w="4798" w:type="dxa"/>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集中治理</w:t>
            </w:r>
          </w:p>
        </w:tc>
        <w:tc>
          <w:tcPr>
            <w:tcW w:w="3020" w:type="dxa"/>
            <w:vAlign w:val="center"/>
          </w:tcPr>
          <w:p>
            <w:pPr>
              <w:widowControl/>
              <w:spacing w:line="240" w:lineRule="auto"/>
              <w:ind w:firstLine="0" w:firstLineChars="0"/>
              <w:jc w:val="center"/>
              <w:rPr>
                <w:rFonts w:hint="default" w:eastAsia="黑体" w:cs="Times New Roman"/>
                <w:kern w:val="0"/>
                <w:sz w:val="21"/>
                <w:szCs w:val="21"/>
                <w:lang w:val="en-US" w:eastAsia="zh-CN"/>
              </w:rPr>
            </w:pPr>
            <w:r>
              <w:rPr>
                <w:rFonts w:hint="eastAsia" w:eastAsia="黑体" w:cs="Times New Roman"/>
                <w:kern w:val="0"/>
                <w:sz w:val="21"/>
                <w:szCs w:val="21"/>
                <w:lang w:val="en-US" w:eastAsia="zh-CN"/>
              </w:rPr>
              <w:t>525.888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3</w:t>
            </w:r>
          </w:p>
        </w:tc>
        <w:tc>
          <w:tcPr>
            <w:tcW w:w="4798" w:type="dxa"/>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分散治理</w:t>
            </w:r>
          </w:p>
        </w:tc>
        <w:tc>
          <w:tcPr>
            <w:tcW w:w="3020" w:type="dxa"/>
            <w:vAlign w:val="center"/>
          </w:tcPr>
          <w:p>
            <w:pPr>
              <w:widowControl/>
              <w:spacing w:line="240" w:lineRule="auto"/>
              <w:ind w:firstLine="0" w:firstLineChars="0"/>
              <w:jc w:val="center"/>
              <w:rPr>
                <w:rFonts w:hint="default" w:eastAsia="黑体" w:cs="Times New Roman"/>
                <w:kern w:val="0"/>
                <w:sz w:val="21"/>
                <w:szCs w:val="21"/>
                <w:lang w:val="en-US" w:eastAsia="zh-CN"/>
              </w:rPr>
            </w:pPr>
            <w:r>
              <w:rPr>
                <w:rFonts w:hint="eastAsia" w:eastAsia="黑体" w:cs="Times New Roman"/>
                <w:kern w:val="0"/>
                <w:sz w:val="21"/>
                <w:szCs w:val="21"/>
                <w:lang w:val="en-US" w:eastAsia="zh-CN"/>
              </w:rPr>
              <w:t>592</w:t>
            </w:r>
          </w:p>
        </w:tc>
      </w:tr>
    </w:tbl>
    <w:p>
      <w:pPr>
        <w:pStyle w:val="16"/>
        <w:ind w:firstLine="0" w:firstLineChars="0"/>
        <w:rPr>
          <w:rFonts w:eastAsia="黑体" w:cs="Times New Roman"/>
          <w:b w:val="0"/>
          <w:bCs/>
        </w:rPr>
      </w:pPr>
      <w:r>
        <w:rPr>
          <w:rFonts w:eastAsia="黑体" w:cs="Times New Roman"/>
          <w:b w:val="0"/>
          <w:bCs/>
        </w:rPr>
        <w:t>表8-3 总投资（按年份分类）</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4"/>
        <w:gridCol w:w="2079"/>
        <w:gridCol w:w="2127"/>
        <w:gridCol w:w="2168"/>
        <w:gridCol w:w="18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4" w:type="dxa"/>
            <w:vMerge w:val="restar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序号</w:t>
            </w:r>
          </w:p>
        </w:tc>
        <w:tc>
          <w:tcPr>
            <w:tcW w:w="2079" w:type="dxa"/>
            <w:vMerge w:val="restart"/>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 xml:space="preserve"> 年份</w:t>
            </w:r>
          </w:p>
        </w:tc>
        <w:tc>
          <w:tcPr>
            <w:tcW w:w="6117" w:type="dxa"/>
            <w:gridSpan w:val="3"/>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总投资（万）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4" w:type="dxa"/>
            <w:vMerge w:val="continue"/>
            <w:vAlign w:val="center"/>
          </w:tcPr>
          <w:p>
            <w:pPr>
              <w:spacing w:line="240" w:lineRule="auto"/>
              <w:ind w:firstLine="0" w:firstLineChars="0"/>
              <w:jc w:val="center"/>
              <w:rPr>
                <w:rFonts w:eastAsia="黑体" w:cs="Times New Roman"/>
                <w:kern w:val="0"/>
                <w:sz w:val="21"/>
                <w:szCs w:val="21"/>
              </w:rPr>
            </w:pPr>
          </w:p>
        </w:tc>
        <w:tc>
          <w:tcPr>
            <w:tcW w:w="2079" w:type="dxa"/>
            <w:vMerge w:val="continue"/>
            <w:vAlign w:val="center"/>
          </w:tcPr>
          <w:p>
            <w:pPr>
              <w:spacing w:line="240" w:lineRule="auto"/>
              <w:ind w:firstLine="0" w:firstLineChars="0"/>
              <w:jc w:val="center"/>
              <w:rPr>
                <w:rFonts w:eastAsia="黑体" w:cs="Times New Roman"/>
                <w:kern w:val="0"/>
                <w:sz w:val="21"/>
                <w:szCs w:val="21"/>
              </w:rPr>
            </w:pPr>
          </w:p>
        </w:tc>
        <w:tc>
          <w:tcPr>
            <w:tcW w:w="2127" w:type="dxa"/>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污水处理设施</w:t>
            </w:r>
          </w:p>
        </w:tc>
        <w:tc>
          <w:tcPr>
            <w:tcW w:w="2168" w:type="dxa"/>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管网</w:t>
            </w:r>
          </w:p>
        </w:tc>
        <w:tc>
          <w:tcPr>
            <w:tcW w:w="1822" w:type="dxa"/>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小计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1</w:t>
            </w:r>
          </w:p>
        </w:tc>
        <w:tc>
          <w:tcPr>
            <w:tcW w:w="2079" w:type="dxa"/>
            <w:vAlign w:val="center"/>
          </w:tcPr>
          <w:p>
            <w:pPr>
              <w:spacing w:line="240" w:lineRule="auto"/>
              <w:ind w:firstLine="0" w:firstLineChars="0"/>
              <w:jc w:val="center"/>
              <w:rPr>
                <w:rFonts w:hint="eastAsia" w:eastAsia="微软雅黑" w:cs="Times New Roman"/>
                <w:kern w:val="0"/>
                <w:sz w:val="21"/>
                <w:szCs w:val="21"/>
                <w:lang w:eastAsia="zh-CN"/>
              </w:rPr>
            </w:pPr>
            <w:r>
              <w:rPr>
                <w:rFonts w:eastAsia="微软雅黑" w:cs="Times New Roman"/>
                <w:kern w:val="0"/>
                <w:sz w:val="21"/>
                <w:szCs w:val="21"/>
              </w:rPr>
              <w:t>202</w:t>
            </w:r>
            <w:r>
              <w:rPr>
                <w:rFonts w:hint="eastAsia" w:eastAsia="微软雅黑" w:cs="Times New Roman"/>
                <w:kern w:val="0"/>
                <w:sz w:val="21"/>
                <w:szCs w:val="21"/>
                <w:lang w:val="en-US" w:eastAsia="zh-CN"/>
              </w:rPr>
              <w:t>1</w:t>
            </w:r>
          </w:p>
        </w:tc>
        <w:tc>
          <w:tcPr>
            <w:tcW w:w="2127" w:type="dxa"/>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0</w:t>
            </w:r>
          </w:p>
        </w:tc>
        <w:tc>
          <w:tcPr>
            <w:tcW w:w="2168" w:type="dxa"/>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2462.4</w:t>
            </w:r>
          </w:p>
        </w:tc>
        <w:tc>
          <w:tcPr>
            <w:tcW w:w="1822"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2462.4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2</w:t>
            </w:r>
          </w:p>
        </w:tc>
        <w:tc>
          <w:tcPr>
            <w:tcW w:w="2079" w:type="dxa"/>
            <w:vAlign w:val="center"/>
          </w:tcPr>
          <w:p>
            <w:pPr>
              <w:spacing w:line="240" w:lineRule="auto"/>
              <w:ind w:firstLine="0" w:firstLineChars="0"/>
              <w:jc w:val="center"/>
              <w:rPr>
                <w:rFonts w:hint="eastAsia" w:eastAsia="微软雅黑" w:cs="Times New Roman"/>
                <w:kern w:val="0"/>
                <w:sz w:val="21"/>
                <w:szCs w:val="21"/>
                <w:lang w:eastAsia="zh-CN"/>
              </w:rPr>
            </w:pPr>
            <w:r>
              <w:rPr>
                <w:rFonts w:eastAsia="微软雅黑" w:cs="Times New Roman"/>
                <w:kern w:val="0"/>
                <w:sz w:val="21"/>
                <w:szCs w:val="21"/>
              </w:rPr>
              <w:t>202</w:t>
            </w:r>
            <w:r>
              <w:rPr>
                <w:rFonts w:hint="eastAsia" w:eastAsia="微软雅黑" w:cs="Times New Roman"/>
                <w:kern w:val="0"/>
                <w:sz w:val="21"/>
                <w:szCs w:val="21"/>
                <w:lang w:val="en-US" w:eastAsia="zh-CN"/>
              </w:rPr>
              <w:t>2</w:t>
            </w:r>
          </w:p>
        </w:tc>
        <w:tc>
          <w:tcPr>
            <w:tcW w:w="2127" w:type="dxa"/>
            <w:vAlign w:val="center"/>
          </w:tcPr>
          <w:p>
            <w:pPr>
              <w:spacing w:line="240" w:lineRule="auto"/>
              <w:ind w:firstLine="0" w:firstLineChars="0"/>
              <w:jc w:val="center"/>
              <w:rPr>
                <w:rFonts w:hint="default" w:eastAsia="微软雅黑" w:cs="Times New Roman"/>
                <w:kern w:val="0"/>
                <w:sz w:val="21"/>
                <w:szCs w:val="21"/>
                <w:lang w:val="en-US" w:eastAsia="zh-CN"/>
              </w:rPr>
            </w:pPr>
            <w:r>
              <w:rPr>
                <w:rFonts w:hint="eastAsia" w:eastAsia="微软雅黑" w:cs="Times New Roman"/>
                <w:kern w:val="0"/>
                <w:sz w:val="21"/>
                <w:szCs w:val="21"/>
                <w:lang w:val="en-US" w:eastAsia="zh-CN"/>
              </w:rPr>
              <w:t>368</w:t>
            </w:r>
          </w:p>
        </w:tc>
        <w:tc>
          <w:tcPr>
            <w:tcW w:w="2168" w:type="dxa"/>
            <w:vAlign w:val="center"/>
          </w:tcPr>
          <w:p>
            <w:pPr>
              <w:spacing w:line="240" w:lineRule="auto"/>
              <w:ind w:firstLine="0" w:firstLineChars="0"/>
              <w:jc w:val="center"/>
              <w:rPr>
                <w:rFonts w:eastAsia="微软雅黑" w:cs="Times New Roman"/>
                <w:kern w:val="0"/>
                <w:sz w:val="21"/>
                <w:szCs w:val="21"/>
              </w:rPr>
            </w:pPr>
            <w:r>
              <w:rPr>
                <w:rFonts w:hint="eastAsia" w:cs="Times New Roman"/>
                <w:sz w:val="21"/>
                <w:szCs w:val="21"/>
              </w:rPr>
              <w:t>325.888</w:t>
            </w:r>
          </w:p>
        </w:tc>
        <w:tc>
          <w:tcPr>
            <w:tcW w:w="1822" w:type="dxa"/>
            <w:vAlign w:val="center"/>
          </w:tcPr>
          <w:p>
            <w:pPr>
              <w:spacing w:line="240" w:lineRule="auto"/>
              <w:ind w:firstLine="0" w:firstLineChars="0"/>
              <w:jc w:val="center"/>
              <w:rPr>
                <w:rFonts w:eastAsia="微软雅黑" w:cs="Times New Roman"/>
                <w:kern w:val="0"/>
                <w:sz w:val="21"/>
                <w:szCs w:val="21"/>
              </w:rPr>
            </w:pPr>
            <w:r>
              <w:rPr>
                <w:rFonts w:hint="eastAsia" w:cs="Times New Roman"/>
                <w:sz w:val="21"/>
                <w:lang w:val="en-US" w:eastAsia="zh-CN"/>
              </w:rPr>
              <w:t>693.888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3</w:t>
            </w:r>
          </w:p>
        </w:tc>
        <w:tc>
          <w:tcPr>
            <w:tcW w:w="2079" w:type="dxa"/>
            <w:vAlign w:val="center"/>
          </w:tcPr>
          <w:p>
            <w:pPr>
              <w:spacing w:line="240" w:lineRule="auto"/>
              <w:ind w:firstLine="0" w:firstLineChars="0"/>
              <w:jc w:val="center"/>
              <w:rPr>
                <w:rFonts w:hint="eastAsia" w:eastAsia="微软雅黑" w:cs="Times New Roman"/>
                <w:kern w:val="0"/>
                <w:sz w:val="21"/>
                <w:szCs w:val="21"/>
                <w:lang w:eastAsia="zh-CN"/>
              </w:rPr>
            </w:pPr>
            <w:r>
              <w:rPr>
                <w:rFonts w:eastAsia="微软雅黑" w:cs="Times New Roman"/>
                <w:kern w:val="0"/>
                <w:sz w:val="21"/>
                <w:szCs w:val="21"/>
              </w:rPr>
              <w:t>202</w:t>
            </w:r>
            <w:r>
              <w:rPr>
                <w:rFonts w:hint="eastAsia" w:eastAsia="微软雅黑" w:cs="Times New Roman"/>
                <w:kern w:val="0"/>
                <w:sz w:val="21"/>
                <w:szCs w:val="21"/>
                <w:lang w:val="en-US" w:eastAsia="zh-CN"/>
              </w:rPr>
              <w:t>3</w:t>
            </w:r>
          </w:p>
        </w:tc>
        <w:tc>
          <w:tcPr>
            <w:tcW w:w="2127" w:type="dxa"/>
            <w:vAlign w:val="center"/>
          </w:tcPr>
          <w:p>
            <w:pPr>
              <w:spacing w:line="240" w:lineRule="auto"/>
              <w:ind w:firstLine="0" w:firstLineChars="0"/>
              <w:jc w:val="center"/>
              <w:rPr>
                <w:rFonts w:hint="eastAsia" w:eastAsia="微软雅黑" w:cs="Times New Roman"/>
                <w:kern w:val="0"/>
                <w:sz w:val="21"/>
                <w:szCs w:val="21"/>
                <w:lang w:eastAsia="zh-CN"/>
              </w:rPr>
            </w:pPr>
            <w:r>
              <w:rPr>
                <w:rFonts w:hint="eastAsia" w:eastAsia="微软雅黑" w:cs="Times New Roman"/>
                <w:kern w:val="0"/>
                <w:sz w:val="21"/>
                <w:szCs w:val="21"/>
                <w:lang w:val="en-US" w:eastAsia="zh-CN"/>
              </w:rPr>
              <w:t>0</w:t>
            </w:r>
          </w:p>
        </w:tc>
        <w:tc>
          <w:tcPr>
            <w:tcW w:w="2168" w:type="dxa"/>
            <w:vAlign w:val="center"/>
          </w:tcPr>
          <w:p>
            <w:pPr>
              <w:spacing w:line="240" w:lineRule="auto"/>
              <w:ind w:firstLine="0" w:firstLineChars="0"/>
              <w:jc w:val="center"/>
              <w:rPr>
                <w:rFonts w:eastAsia="微软雅黑" w:cs="Times New Roman"/>
                <w:kern w:val="0"/>
                <w:sz w:val="21"/>
                <w:szCs w:val="21"/>
              </w:rPr>
            </w:pPr>
            <w:r>
              <w:rPr>
                <w:rFonts w:hint="eastAsia" w:cs="Times New Roman"/>
                <w:kern w:val="0"/>
                <w:sz w:val="21"/>
                <w:szCs w:val="21"/>
              </w:rPr>
              <w:t>283.404</w:t>
            </w:r>
          </w:p>
        </w:tc>
        <w:tc>
          <w:tcPr>
            <w:tcW w:w="1822" w:type="dxa"/>
            <w:vAlign w:val="center"/>
          </w:tcPr>
          <w:p>
            <w:pPr>
              <w:spacing w:line="240" w:lineRule="auto"/>
              <w:ind w:firstLine="0" w:firstLineChars="0"/>
              <w:jc w:val="center"/>
              <w:rPr>
                <w:rFonts w:eastAsia="微软雅黑" w:cs="Times New Roman"/>
                <w:kern w:val="0"/>
                <w:sz w:val="21"/>
                <w:szCs w:val="21"/>
              </w:rPr>
            </w:pPr>
            <w:r>
              <w:rPr>
                <w:rFonts w:hint="eastAsia" w:cs="Times New Roman"/>
                <w:kern w:val="0"/>
                <w:sz w:val="21"/>
                <w:szCs w:val="21"/>
              </w:rPr>
              <w:t>283.404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4</w:t>
            </w:r>
          </w:p>
        </w:tc>
        <w:tc>
          <w:tcPr>
            <w:tcW w:w="2079" w:type="dxa"/>
            <w:vAlign w:val="center"/>
          </w:tcPr>
          <w:p>
            <w:pPr>
              <w:spacing w:line="240" w:lineRule="auto"/>
              <w:ind w:firstLine="0" w:firstLineChars="0"/>
              <w:jc w:val="center"/>
              <w:rPr>
                <w:rFonts w:hint="eastAsia" w:eastAsia="微软雅黑" w:cs="Times New Roman"/>
                <w:kern w:val="0"/>
                <w:sz w:val="21"/>
                <w:szCs w:val="21"/>
                <w:lang w:eastAsia="zh-CN"/>
              </w:rPr>
            </w:pPr>
            <w:r>
              <w:rPr>
                <w:rFonts w:eastAsia="微软雅黑" w:cs="Times New Roman"/>
                <w:kern w:val="0"/>
                <w:sz w:val="21"/>
                <w:szCs w:val="21"/>
              </w:rPr>
              <w:t>202</w:t>
            </w:r>
            <w:r>
              <w:rPr>
                <w:rFonts w:hint="eastAsia" w:eastAsia="微软雅黑" w:cs="Times New Roman"/>
                <w:kern w:val="0"/>
                <w:sz w:val="21"/>
                <w:szCs w:val="21"/>
                <w:lang w:val="en-US" w:eastAsia="zh-CN"/>
              </w:rPr>
              <w:t>4</w:t>
            </w:r>
          </w:p>
        </w:tc>
        <w:tc>
          <w:tcPr>
            <w:tcW w:w="2127" w:type="dxa"/>
            <w:vAlign w:val="center"/>
          </w:tcPr>
          <w:p>
            <w:pPr>
              <w:spacing w:line="240" w:lineRule="auto"/>
              <w:ind w:firstLine="0" w:firstLineChars="0"/>
              <w:jc w:val="center"/>
              <w:rPr>
                <w:rFonts w:hint="default" w:eastAsia="微软雅黑" w:cs="Times New Roman"/>
                <w:kern w:val="0"/>
                <w:sz w:val="21"/>
                <w:szCs w:val="21"/>
                <w:lang w:val="en-US" w:eastAsia="zh-CN"/>
              </w:rPr>
            </w:pPr>
            <w:r>
              <w:rPr>
                <w:rFonts w:hint="eastAsia" w:eastAsia="微软雅黑" w:cs="Times New Roman"/>
                <w:kern w:val="0"/>
                <w:sz w:val="21"/>
                <w:szCs w:val="21"/>
                <w:lang w:val="en-US" w:eastAsia="zh-CN"/>
              </w:rPr>
              <w:t>268</w:t>
            </w:r>
          </w:p>
        </w:tc>
        <w:tc>
          <w:tcPr>
            <w:tcW w:w="2168" w:type="dxa"/>
            <w:vAlign w:val="center"/>
          </w:tcPr>
          <w:p>
            <w:pPr>
              <w:spacing w:line="240" w:lineRule="auto"/>
              <w:ind w:firstLine="0" w:firstLineChars="0"/>
              <w:jc w:val="center"/>
              <w:rPr>
                <w:rFonts w:hint="eastAsia" w:eastAsia="微软雅黑" w:cs="Times New Roman"/>
                <w:kern w:val="0"/>
                <w:sz w:val="21"/>
                <w:szCs w:val="21"/>
                <w:lang w:eastAsia="zh-CN"/>
              </w:rPr>
            </w:pPr>
            <w:r>
              <w:rPr>
                <w:rFonts w:hint="eastAsia" w:eastAsia="微软雅黑" w:cs="Times New Roman"/>
                <w:kern w:val="0"/>
                <w:sz w:val="21"/>
                <w:szCs w:val="21"/>
                <w:lang w:val="en-US" w:eastAsia="zh-CN"/>
              </w:rPr>
              <w:t>0</w:t>
            </w:r>
          </w:p>
        </w:tc>
        <w:tc>
          <w:tcPr>
            <w:tcW w:w="1822" w:type="dxa"/>
            <w:vAlign w:val="center"/>
          </w:tcPr>
          <w:p>
            <w:pPr>
              <w:spacing w:line="240" w:lineRule="auto"/>
              <w:ind w:firstLine="0" w:firstLineChars="0"/>
              <w:jc w:val="center"/>
              <w:rPr>
                <w:rFonts w:hint="default" w:eastAsia="微软雅黑" w:cs="Times New Roman"/>
                <w:kern w:val="0"/>
                <w:sz w:val="21"/>
                <w:szCs w:val="21"/>
                <w:lang w:val="en-US" w:eastAsia="zh-CN"/>
              </w:rPr>
            </w:pPr>
            <w:r>
              <w:rPr>
                <w:rFonts w:hint="eastAsia" w:eastAsia="微软雅黑" w:cs="Times New Roman"/>
                <w:kern w:val="0"/>
                <w:sz w:val="21"/>
                <w:szCs w:val="21"/>
                <w:lang w:val="en-US" w:eastAsia="zh-CN"/>
              </w:rPr>
              <w:t>268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4" w:type="dxa"/>
            <w:vAlign w:val="center"/>
          </w:tcPr>
          <w:p>
            <w:pPr>
              <w:spacing w:line="240" w:lineRule="auto"/>
              <w:ind w:firstLine="0" w:firstLineChars="0"/>
              <w:jc w:val="center"/>
              <w:rPr>
                <w:rFonts w:eastAsia="微软雅黑" w:cs="Times New Roman"/>
                <w:kern w:val="0"/>
                <w:sz w:val="21"/>
                <w:szCs w:val="21"/>
              </w:rPr>
            </w:pPr>
            <w:r>
              <w:rPr>
                <w:rFonts w:eastAsia="微软雅黑" w:cs="Times New Roman"/>
                <w:kern w:val="0"/>
                <w:sz w:val="21"/>
                <w:szCs w:val="21"/>
              </w:rPr>
              <w:t>5</w:t>
            </w:r>
          </w:p>
        </w:tc>
        <w:tc>
          <w:tcPr>
            <w:tcW w:w="2079" w:type="dxa"/>
            <w:vAlign w:val="center"/>
          </w:tcPr>
          <w:p>
            <w:pPr>
              <w:spacing w:line="240" w:lineRule="auto"/>
              <w:ind w:firstLine="0" w:firstLineChars="0"/>
              <w:jc w:val="center"/>
              <w:rPr>
                <w:rFonts w:hint="eastAsia" w:eastAsia="微软雅黑" w:cs="Times New Roman"/>
                <w:kern w:val="0"/>
                <w:sz w:val="21"/>
                <w:szCs w:val="21"/>
                <w:lang w:eastAsia="zh-CN"/>
              </w:rPr>
            </w:pPr>
            <w:r>
              <w:rPr>
                <w:rFonts w:eastAsia="微软雅黑" w:cs="Times New Roman"/>
                <w:kern w:val="0"/>
                <w:sz w:val="21"/>
                <w:szCs w:val="21"/>
              </w:rPr>
              <w:t>202</w:t>
            </w:r>
            <w:r>
              <w:rPr>
                <w:rFonts w:hint="eastAsia" w:eastAsia="微软雅黑" w:cs="Times New Roman"/>
                <w:kern w:val="0"/>
                <w:sz w:val="21"/>
                <w:szCs w:val="21"/>
                <w:lang w:val="en-US" w:eastAsia="zh-CN"/>
              </w:rPr>
              <w:t>5</w:t>
            </w:r>
          </w:p>
        </w:tc>
        <w:tc>
          <w:tcPr>
            <w:tcW w:w="2127" w:type="dxa"/>
            <w:vAlign w:val="center"/>
          </w:tcPr>
          <w:p>
            <w:pPr>
              <w:spacing w:line="240" w:lineRule="auto"/>
              <w:ind w:firstLine="0" w:firstLineChars="0"/>
              <w:jc w:val="center"/>
              <w:rPr>
                <w:rFonts w:hint="default" w:eastAsia="微软雅黑" w:cs="Times New Roman"/>
                <w:kern w:val="0"/>
                <w:sz w:val="21"/>
                <w:szCs w:val="21"/>
                <w:lang w:val="en-US" w:eastAsia="zh-CN"/>
              </w:rPr>
            </w:pPr>
            <w:r>
              <w:rPr>
                <w:rFonts w:hint="eastAsia" w:eastAsia="微软雅黑" w:cs="Times New Roman"/>
                <w:kern w:val="0"/>
                <w:sz w:val="21"/>
                <w:szCs w:val="21"/>
                <w:lang w:val="en-US" w:eastAsia="zh-CN"/>
              </w:rPr>
              <w:t>156</w:t>
            </w:r>
          </w:p>
        </w:tc>
        <w:tc>
          <w:tcPr>
            <w:tcW w:w="2168" w:type="dxa"/>
            <w:vAlign w:val="center"/>
          </w:tcPr>
          <w:p>
            <w:pPr>
              <w:spacing w:line="240" w:lineRule="auto"/>
              <w:ind w:firstLine="0" w:firstLineChars="0"/>
              <w:jc w:val="center"/>
              <w:rPr>
                <w:rFonts w:hint="eastAsia" w:eastAsia="微软雅黑" w:cs="Times New Roman"/>
                <w:kern w:val="0"/>
                <w:sz w:val="21"/>
                <w:szCs w:val="21"/>
                <w:lang w:eastAsia="zh-CN"/>
              </w:rPr>
            </w:pPr>
            <w:r>
              <w:rPr>
                <w:rFonts w:hint="eastAsia" w:eastAsia="微软雅黑" w:cs="Times New Roman"/>
                <w:kern w:val="0"/>
                <w:sz w:val="21"/>
                <w:szCs w:val="21"/>
                <w:lang w:val="en-US" w:eastAsia="zh-CN"/>
              </w:rPr>
              <w:t>0</w:t>
            </w:r>
          </w:p>
        </w:tc>
        <w:tc>
          <w:tcPr>
            <w:tcW w:w="1822" w:type="dxa"/>
            <w:vAlign w:val="center"/>
          </w:tcPr>
          <w:p>
            <w:pPr>
              <w:spacing w:line="240" w:lineRule="auto"/>
              <w:ind w:firstLine="0" w:firstLineChars="0"/>
              <w:jc w:val="center"/>
              <w:rPr>
                <w:rFonts w:hint="default" w:eastAsia="微软雅黑" w:cs="Times New Roman"/>
                <w:kern w:val="0"/>
                <w:sz w:val="21"/>
                <w:szCs w:val="21"/>
                <w:lang w:val="en-US" w:eastAsia="zh-CN"/>
              </w:rPr>
            </w:pPr>
            <w:r>
              <w:rPr>
                <w:rFonts w:hint="eastAsia" w:eastAsia="微软雅黑" w:cs="Times New Roman"/>
                <w:kern w:val="0"/>
                <w:sz w:val="21"/>
                <w:szCs w:val="21"/>
                <w:lang w:val="en-US" w:eastAsia="zh-CN"/>
              </w:rPr>
              <w:t>156</w:t>
            </w:r>
          </w:p>
        </w:tc>
      </w:tr>
    </w:tbl>
    <w:p>
      <w:pPr>
        <w:ind w:firstLine="0" w:firstLineChars="0"/>
        <w:rPr>
          <w:rFonts w:cs="Times New Roman"/>
        </w:rPr>
      </w:pPr>
    </w:p>
    <w:p>
      <w:pPr>
        <w:ind w:firstLine="0" w:firstLineChars="0"/>
        <w:rPr>
          <w:rFonts w:cs="Times New Roman"/>
        </w:rPr>
      </w:pPr>
    </w:p>
    <w:p>
      <w:pPr>
        <w:ind w:firstLine="480"/>
        <w:rPr>
          <w:rFonts w:cs="Times New Roman"/>
        </w:rPr>
        <w:sectPr>
          <w:pgSz w:w="11906" w:h="16838"/>
          <w:pgMar w:top="1361" w:right="1531" w:bottom="1361" w:left="1531" w:header="851" w:footer="992" w:gutter="0"/>
          <w:cols w:space="425" w:num="1"/>
          <w:docGrid w:type="lines" w:linePitch="326" w:charSpace="0"/>
        </w:sectPr>
      </w:pPr>
    </w:p>
    <w:p>
      <w:pPr>
        <w:pStyle w:val="16"/>
        <w:ind w:firstLine="0" w:firstLineChars="0"/>
        <w:rPr>
          <w:rFonts w:eastAsia="黑体" w:cs="Times New Roman"/>
          <w:b w:val="0"/>
          <w:bCs/>
        </w:rPr>
      </w:pPr>
      <w:r>
        <w:rPr>
          <w:rFonts w:eastAsia="黑体" w:cs="Times New Roman"/>
          <w:b w:val="0"/>
          <w:bCs/>
        </w:rPr>
        <w:t>表8-4  工程概况及投资估算</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636"/>
        <w:gridCol w:w="1056"/>
        <w:gridCol w:w="1266"/>
        <w:gridCol w:w="1118"/>
        <w:gridCol w:w="3512"/>
        <w:gridCol w:w="1031"/>
        <w:gridCol w:w="846"/>
        <w:gridCol w:w="846"/>
        <w:gridCol w:w="905"/>
        <w:gridCol w:w="900"/>
        <w:gridCol w:w="1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blHeader/>
        </w:trPr>
        <w:tc>
          <w:tcPr>
            <w:tcW w:w="221" w:type="pct"/>
            <w:vMerge w:val="restart"/>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年份</w:t>
            </w:r>
          </w:p>
        </w:tc>
        <w:tc>
          <w:tcPr>
            <w:tcW w:w="221" w:type="pct"/>
            <w:vMerge w:val="restar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序号</w:t>
            </w:r>
          </w:p>
        </w:tc>
        <w:tc>
          <w:tcPr>
            <w:tcW w:w="368" w:type="pct"/>
            <w:vMerge w:val="restar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乡镇</w:t>
            </w:r>
          </w:p>
        </w:tc>
        <w:tc>
          <w:tcPr>
            <w:tcW w:w="441" w:type="pct"/>
            <w:vMerge w:val="restart"/>
            <w:shd w:val="clear" w:color="auto" w:fill="auto"/>
            <w:noWrap/>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村庄</w:t>
            </w:r>
          </w:p>
        </w:tc>
        <w:tc>
          <w:tcPr>
            <w:tcW w:w="390" w:type="pct"/>
            <w:vMerge w:val="restart"/>
            <w:vAlign w:val="center"/>
          </w:tcPr>
          <w:p>
            <w:pPr>
              <w:widowControl/>
              <w:spacing w:line="240" w:lineRule="auto"/>
              <w:ind w:firstLine="0" w:firstLineChars="0"/>
              <w:jc w:val="center"/>
              <w:rPr>
                <w:rFonts w:eastAsia="黑体" w:cs="Times New Roman"/>
                <w:kern w:val="0"/>
                <w:sz w:val="21"/>
                <w:szCs w:val="21"/>
              </w:rPr>
            </w:pPr>
            <w:r>
              <w:rPr>
                <w:rFonts w:eastAsia="黑体" w:cs="Times New Roman"/>
                <w:sz w:val="21"/>
                <w:szCs w:val="21"/>
              </w:rPr>
              <w:t>治理模式</w:t>
            </w:r>
          </w:p>
        </w:tc>
        <w:tc>
          <w:tcPr>
            <w:tcW w:w="1224" w:type="pct"/>
            <w:vMerge w:val="restart"/>
            <w:vAlign w:val="center"/>
          </w:tcPr>
          <w:p>
            <w:pPr>
              <w:widowControl/>
              <w:spacing w:line="240" w:lineRule="auto"/>
              <w:ind w:firstLine="0" w:firstLineChars="0"/>
              <w:jc w:val="center"/>
              <w:rPr>
                <w:rFonts w:eastAsia="黑体" w:cs="Times New Roman"/>
                <w:kern w:val="0"/>
                <w:sz w:val="21"/>
                <w:szCs w:val="21"/>
              </w:rPr>
            </w:pPr>
            <w:r>
              <w:rPr>
                <w:rFonts w:eastAsia="黑体" w:cs="Times New Roman"/>
                <w:sz w:val="21"/>
                <w:szCs w:val="21"/>
              </w:rPr>
              <w:t>处理工艺</w:t>
            </w:r>
          </w:p>
        </w:tc>
        <w:tc>
          <w:tcPr>
            <w:tcW w:w="949" w:type="pct"/>
            <w:gridSpan w:val="3"/>
            <w:vAlign w:val="center"/>
          </w:tcPr>
          <w:p>
            <w:pPr>
              <w:spacing w:line="240" w:lineRule="auto"/>
              <w:ind w:firstLine="0" w:firstLineChars="0"/>
              <w:jc w:val="center"/>
              <w:rPr>
                <w:rFonts w:eastAsia="黑体" w:cs="Times New Roman"/>
                <w:kern w:val="0"/>
                <w:sz w:val="21"/>
                <w:szCs w:val="21"/>
              </w:rPr>
            </w:pPr>
            <w:r>
              <w:rPr>
                <w:rFonts w:eastAsia="黑体" w:cs="Times New Roman"/>
                <w:kern w:val="0"/>
                <w:sz w:val="21"/>
                <w:szCs w:val="21"/>
              </w:rPr>
              <w:t>设施建设费用</w:t>
            </w:r>
          </w:p>
        </w:tc>
        <w:tc>
          <w:tcPr>
            <w:tcW w:w="629" w:type="pct"/>
            <w:gridSpan w:val="2"/>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管网建设费用</w:t>
            </w:r>
          </w:p>
        </w:tc>
        <w:tc>
          <w:tcPr>
            <w:tcW w:w="551" w:type="pct"/>
            <w:vMerge w:val="restart"/>
            <w:vAlign w:val="center"/>
          </w:tcPr>
          <w:p>
            <w:pPr>
              <w:widowControl/>
              <w:spacing w:line="240" w:lineRule="auto"/>
              <w:ind w:firstLine="0" w:firstLineChars="0"/>
              <w:jc w:val="center"/>
              <w:rPr>
                <w:rFonts w:cs="Times New Roman"/>
                <w:kern w:val="0"/>
                <w:sz w:val="21"/>
                <w:szCs w:val="21"/>
              </w:rPr>
            </w:pPr>
            <w:r>
              <w:rPr>
                <w:rFonts w:eastAsia="黑体" w:cs="Times New Roman"/>
                <w:kern w:val="0"/>
                <w:sz w:val="21"/>
                <w:szCs w:val="21"/>
              </w:rPr>
              <w:t>投资总额（万）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blHeader/>
        </w:trPr>
        <w:tc>
          <w:tcPr>
            <w:tcW w:w="221" w:type="pct"/>
            <w:vMerge w:val="continue"/>
            <w:vAlign w:val="center"/>
          </w:tcPr>
          <w:p>
            <w:pPr>
              <w:widowControl/>
              <w:spacing w:line="240" w:lineRule="auto"/>
              <w:ind w:firstLine="0" w:firstLineChars="0"/>
              <w:jc w:val="center"/>
              <w:rPr>
                <w:rFonts w:eastAsia="黑体" w:cs="Times New Roman"/>
                <w:kern w:val="0"/>
                <w:sz w:val="21"/>
                <w:szCs w:val="21"/>
              </w:rPr>
            </w:pPr>
          </w:p>
        </w:tc>
        <w:tc>
          <w:tcPr>
            <w:tcW w:w="221" w:type="pct"/>
            <w:vMerge w:val="continue"/>
            <w:shd w:val="clear" w:color="auto" w:fill="auto"/>
            <w:noWrap/>
            <w:vAlign w:val="center"/>
          </w:tcPr>
          <w:p>
            <w:pPr>
              <w:widowControl/>
              <w:spacing w:line="240" w:lineRule="auto"/>
              <w:ind w:firstLine="0" w:firstLineChars="0"/>
              <w:jc w:val="center"/>
              <w:rPr>
                <w:rFonts w:eastAsia="黑体" w:cs="Times New Roman"/>
                <w:kern w:val="0"/>
                <w:sz w:val="21"/>
                <w:szCs w:val="21"/>
              </w:rPr>
            </w:pPr>
          </w:p>
        </w:tc>
        <w:tc>
          <w:tcPr>
            <w:tcW w:w="368" w:type="pct"/>
            <w:vMerge w:val="continue"/>
            <w:shd w:val="clear" w:color="auto" w:fill="auto"/>
            <w:noWrap/>
            <w:vAlign w:val="center"/>
          </w:tcPr>
          <w:p>
            <w:pPr>
              <w:widowControl/>
              <w:spacing w:line="240" w:lineRule="auto"/>
              <w:ind w:firstLine="0" w:firstLineChars="0"/>
              <w:jc w:val="center"/>
              <w:rPr>
                <w:rFonts w:eastAsia="黑体" w:cs="Times New Roman"/>
                <w:kern w:val="0"/>
                <w:sz w:val="21"/>
                <w:szCs w:val="21"/>
              </w:rPr>
            </w:pPr>
          </w:p>
        </w:tc>
        <w:tc>
          <w:tcPr>
            <w:tcW w:w="441" w:type="pct"/>
            <w:vMerge w:val="continue"/>
            <w:shd w:val="clear" w:color="auto" w:fill="auto"/>
            <w:noWrap/>
            <w:vAlign w:val="center"/>
          </w:tcPr>
          <w:p>
            <w:pPr>
              <w:widowControl/>
              <w:spacing w:line="240" w:lineRule="auto"/>
              <w:ind w:firstLine="0" w:firstLineChars="0"/>
              <w:jc w:val="center"/>
              <w:rPr>
                <w:rFonts w:eastAsia="黑体" w:cs="Times New Roman"/>
                <w:kern w:val="0"/>
                <w:sz w:val="21"/>
                <w:szCs w:val="21"/>
              </w:rPr>
            </w:pPr>
          </w:p>
        </w:tc>
        <w:tc>
          <w:tcPr>
            <w:tcW w:w="390" w:type="pct"/>
            <w:vMerge w:val="continue"/>
            <w:vAlign w:val="center"/>
          </w:tcPr>
          <w:p>
            <w:pPr>
              <w:widowControl/>
              <w:spacing w:line="240" w:lineRule="auto"/>
              <w:ind w:firstLine="0" w:firstLineChars="0"/>
              <w:jc w:val="center"/>
              <w:rPr>
                <w:rFonts w:eastAsia="黑体" w:cs="Times New Roman"/>
                <w:kern w:val="0"/>
                <w:sz w:val="21"/>
                <w:szCs w:val="21"/>
              </w:rPr>
            </w:pPr>
          </w:p>
        </w:tc>
        <w:tc>
          <w:tcPr>
            <w:tcW w:w="1224" w:type="pct"/>
            <w:vMerge w:val="continue"/>
            <w:vAlign w:val="center"/>
          </w:tcPr>
          <w:p>
            <w:pPr>
              <w:widowControl/>
              <w:spacing w:line="240" w:lineRule="auto"/>
              <w:ind w:firstLine="0" w:firstLineChars="0"/>
              <w:jc w:val="center"/>
              <w:rPr>
                <w:rFonts w:eastAsia="黑体" w:cs="Times New Roman"/>
                <w:kern w:val="0"/>
                <w:sz w:val="21"/>
                <w:szCs w:val="21"/>
              </w:rPr>
            </w:pPr>
          </w:p>
        </w:tc>
        <w:tc>
          <w:tcPr>
            <w:tcW w:w="359" w:type="pct"/>
            <w:vAlign w:val="center"/>
          </w:tcPr>
          <w:p>
            <w:pPr>
              <w:widowControl/>
              <w:spacing w:line="240" w:lineRule="auto"/>
              <w:ind w:firstLine="0" w:firstLineChars="0"/>
              <w:jc w:val="center"/>
              <w:rPr>
                <w:rFonts w:eastAsia="黑体" w:cs="Times New Roman"/>
                <w:kern w:val="0"/>
                <w:sz w:val="21"/>
                <w:szCs w:val="21"/>
              </w:rPr>
            </w:pPr>
            <w:r>
              <w:rPr>
                <w:rFonts w:eastAsia="黑体" w:cs="Times New Roman"/>
                <w:sz w:val="21"/>
                <w:szCs w:val="21"/>
              </w:rPr>
              <w:t>规模（m</w:t>
            </w:r>
            <w:r>
              <w:rPr>
                <w:rFonts w:eastAsia="黑体" w:cs="Times New Roman"/>
                <w:sz w:val="21"/>
                <w:szCs w:val="21"/>
                <w:vertAlign w:val="superscript"/>
              </w:rPr>
              <w:t>3</w:t>
            </w:r>
            <w:r>
              <w:rPr>
                <w:rFonts w:eastAsia="黑体" w:cs="Times New Roman"/>
                <w:sz w:val="21"/>
                <w:szCs w:val="21"/>
              </w:rPr>
              <w:t>/d）</w:t>
            </w:r>
          </w:p>
        </w:tc>
        <w:tc>
          <w:tcPr>
            <w:tcW w:w="295" w:type="pct"/>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数量（个）</w:t>
            </w:r>
          </w:p>
        </w:tc>
        <w:tc>
          <w:tcPr>
            <w:tcW w:w="295" w:type="pct"/>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设施费用（万）</w:t>
            </w:r>
          </w:p>
        </w:tc>
        <w:tc>
          <w:tcPr>
            <w:tcW w:w="315" w:type="pct"/>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管长（km）</w:t>
            </w:r>
          </w:p>
        </w:tc>
        <w:tc>
          <w:tcPr>
            <w:tcW w:w="313" w:type="pct"/>
            <w:vAlign w:val="center"/>
          </w:tcPr>
          <w:p>
            <w:pPr>
              <w:widowControl/>
              <w:spacing w:line="240" w:lineRule="auto"/>
              <w:ind w:firstLine="0" w:firstLineChars="0"/>
              <w:jc w:val="center"/>
              <w:rPr>
                <w:rFonts w:eastAsia="黑体" w:cs="Times New Roman"/>
                <w:kern w:val="0"/>
                <w:sz w:val="21"/>
                <w:szCs w:val="21"/>
              </w:rPr>
            </w:pPr>
            <w:r>
              <w:rPr>
                <w:rFonts w:eastAsia="黑体" w:cs="Times New Roman"/>
                <w:kern w:val="0"/>
                <w:sz w:val="21"/>
                <w:szCs w:val="21"/>
              </w:rPr>
              <w:t>小计（万）</w:t>
            </w:r>
          </w:p>
        </w:tc>
        <w:tc>
          <w:tcPr>
            <w:tcW w:w="551" w:type="pct"/>
            <w:vMerge w:val="continue"/>
            <w:vAlign w:val="center"/>
          </w:tcPr>
          <w:p>
            <w:pPr>
              <w:widowControl/>
              <w:spacing w:line="240" w:lineRule="auto"/>
              <w:ind w:firstLine="0" w:firstLineChars="0"/>
              <w:jc w:val="center"/>
              <w:rPr>
                <w:rFonts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221" w:type="pct"/>
            <w:vMerge w:val="restart"/>
            <w:vAlign w:val="center"/>
          </w:tcPr>
          <w:p>
            <w:pPr>
              <w:spacing w:line="240" w:lineRule="auto"/>
              <w:ind w:firstLine="0" w:firstLineChars="0"/>
              <w:jc w:val="center"/>
              <w:rPr>
                <w:rFonts w:hint="eastAsia" w:eastAsia="宋体" w:cs="Times New Roman"/>
                <w:sz w:val="21"/>
                <w:szCs w:val="21"/>
                <w:lang w:eastAsia="zh-CN"/>
              </w:rPr>
            </w:pPr>
            <w:r>
              <w:rPr>
                <w:rFonts w:cs="Times New Roman"/>
                <w:sz w:val="21"/>
                <w:szCs w:val="21"/>
              </w:rPr>
              <w:t>202</w:t>
            </w:r>
            <w:r>
              <w:rPr>
                <w:rFonts w:hint="eastAsia" w:cs="Times New Roman"/>
                <w:sz w:val="21"/>
                <w:szCs w:val="21"/>
                <w:lang w:val="en-US" w:eastAsia="zh-CN"/>
              </w:rPr>
              <w:t>1</w:t>
            </w:r>
          </w:p>
        </w:tc>
        <w:tc>
          <w:tcPr>
            <w:tcW w:w="221"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1</w:t>
            </w:r>
          </w:p>
        </w:tc>
        <w:tc>
          <w:tcPr>
            <w:tcW w:w="368"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441"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铁匠铺村</w:t>
            </w:r>
          </w:p>
        </w:tc>
        <w:tc>
          <w:tcPr>
            <w:tcW w:w="390" w:type="pct"/>
            <w:vMerge w:val="restart"/>
            <w:vAlign w:val="center"/>
          </w:tcPr>
          <w:p>
            <w:pPr>
              <w:spacing w:line="240" w:lineRule="auto"/>
              <w:ind w:firstLine="0" w:firstLineChars="0"/>
              <w:jc w:val="center"/>
              <w:rPr>
                <w:rFonts w:cs="Times New Roman"/>
                <w:sz w:val="21"/>
                <w:szCs w:val="21"/>
              </w:rPr>
            </w:pPr>
            <w:r>
              <w:rPr>
                <w:rFonts w:hint="eastAsia" w:cs="Times New Roman"/>
                <w:sz w:val="21"/>
                <w:szCs w:val="21"/>
              </w:rPr>
              <w:t>截污纳网</w:t>
            </w:r>
          </w:p>
        </w:tc>
        <w:tc>
          <w:tcPr>
            <w:tcW w:w="1224" w:type="pct"/>
            <w:vMerge w:val="restart"/>
            <w:vAlign w:val="center"/>
          </w:tcPr>
          <w:p>
            <w:pPr>
              <w:spacing w:line="240" w:lineRule="auto"/>
              <w:ind w:firstLine="31" w:firstLineChars="15"/>
              <w:jc w:val="center"/>
              <w:rPr>
                <w:rFonts w:cs="Times New Roman"/>
                <w:sz w:val="21"/>
                <w:szCs w:val="21"/>
              </w:rPr>
            </w:pPr>
            <w:r>
              <w:rPr>
                <w:rFonts w:cs="Times New Roman"/>
                <w:sz w:val="21"/>
                <w:szCs w:val="21"/>
              </w:rPr>
              <w:t>-</w:t>
            </w:r>
          </w:p>
        </w:tc>
        <w:tc>
          <w:tcPr>
            <w:tcW w:w="359" w:type="pct"/>
            <w:vMerge w:val="restart"/>
            <w:vAlign w:val="center"/>
          </w:tcPr>
          <w:p>
            <w:pPr>
              <w:spacing w:line="240" w:lineRule="auto"/>
              <w:ind w:firstLine="420"/>
              <w:rPr>
                <w:rFonts w:cs="Times New Roman"/>
                <w:sz w:val="21"/>
                <w:szCs w:val="21"/>
              </w:rPr>
            </w:pPr>
            <w:r>
              <w:rPr>
                <w:rFonts w:hint="eastAsia" w:cs="Times New Roman"/>
                <w:sz w:val="21"/>
                <w:szCs w:val="21"/>
              </w:rPr>
              <w:t>-</w:t>
            </w:r>
          </w:p>
        </w:tc>
        <w:tc>
          <w:tcPr>
            <w:tcW w:w="295" w:type="pct"/>
            <w:vMerge w:val="restart"/>
            <w:vAlign w:val="center"/>
          </w:tcPr>
          <w:p>
            <w:pPr>
              <w:spacing w:line="240" w:lineRule="auto"/>
              <w:ind w:firstLine="0" w:firstLineChars="0"/>
              <w:jc w:val="center"/>
              <w:rPr>
                <w:rFonts w:cs="Times New Roman"/>
                <w:sz w:val="21"/>
                <w:szCs w:val="21"/>
              </w:rPr>
            </w:pPr>
            <w:r>
              <w:rPr>
                <w:rFonts w:hint="eastAsia" w:cs="Times New Roman"/>
                <w:sz w:val="21"/>
                <w:szCs w:val="21"/>
              </w:rPr>
              <w:t>-</w:t>
            </w:r>
          </w:p>
        </w:tc>
        <w:tc>
          <w:tcPr>
            <w:tcW w:w="295" w:type="pct"/>
            <w:vMerge w:val="restart"/>
            <w:vAlign w:val="center"/>
          </w:tcPr>
          <w:p>
            <w:pPr>
              <w:spacing w:line="240" w:lineRule="auto"/>
              <w:ind w:firstLine="0" w:firstLineChars="0"/>
              <w:jc w:val="center"/>
              <w:rPr>
                <w:rFonts w:cs="Times New Roman"/>
                <w:sz w:val="21"/>
                <w:szCs w:val="21"/>
              </w:rPr>
            </w:pPr>
            <w:r>
              <w:rPr>
                <w:rFonts w:hint="eastAsia" w:cs="Times New Roman"/>
                <w:sz w:val="21"/>
                <w:szCs w:val="21"/>
              </w:rPr>
              <w:t>-</w:t>
            </w:r>
          </w:p>
        </w:tc>
        <w:tc>
          <w:tcPr>
            <w:tcW w:w="315" w:type="pct"/>
            <w:vMerge w:val="restart"/>
            <w:vAlign w:val="center"/>
          </w:tcPr>
          <w:p>
            <w:pPr>
              <w:spacing w:line="240" w:lineRule="auto"/>
              <w:ind w:firstLine="0" w:firstLineChars="0"/>
              <w:jc w:val="center"/>
              <w:rPr>
                <w:rFonts w:cs="Times New Roman"/>
                <w:sz w:val="21"/>
                <w:szCs w:val="21"/>
              </w:rPr>
            </w:pPr>
            <w:r>
              <w:rPr>
                <w:rFonts w:hint="eastAsia" w:cs="Times New Roman"/>
                <w:sz w:val="21"/>
                <w:szCs w:val="21"/>
              </w:rPr>
              <w:t>32.4</w:t>
            </w:r>
          </w:p>
        </w:tc>
        <w:tc>
          <w:tcPr>
            <w:tcW w:w="313" w:type="pct"/>
            <w:vMerge w:val="restart"/>
            <w:vAlign w:val="center"/>
          </w:tcPr>
          <w:p>
            <w:pPr>
              <w:spacing w:line="240" w:lineRule="auto"/>
              <w:ind w:firstLine="0" w:firstLineChars="0"/>
              <w:jc w:val="center"/>
              <w:rPr>
                <w:rFonts w:cs="Times New Roman"/>
                <w:sz w:val="21"/>
                <w:szCs w:val="21"/>
              </w:rPr>
            </w:pPr>
            <w:r>
              <w:rPr>
                <w:rFonts w:cs="Times New Roman"/>
                <w:sz w:val="21"/>
                <w:szCs w:val="21"/>
              </w:rPr>
              <w:t>2462.4</w:t>
            </w:r>
          </w:p>
        </w:tc>
        <w:tc>
          <w:tcPr>
            <w:tcW w:w="551" w:type="pct"/>
            <w:vMerge w:val="restart"/>
            <w:vAlign w:val="center"/>
          </w:tcPr>
          <w:p>
            <w:pPr>
              <w:spacing w:line="240" w:lineRule="auto"/>
              <w:ind w:firstLine="0" w:firstLineChars="0"/>
              <w:jc w:val="center"/>
              <w:rPr>
                <w:rFonts w:cs="Times New Roman"/>
                <w:sz w:val="21"/>
                <w:szCs w:val="21"/>
              </w:rPr>
            </w:pPr>
            <w:r>
              <w:rPr>
                <w:rFonts w:cs="Times New Roman"/>
                <w:sz w:val="21"/>
                <w:szCs w:val="21"/>
              </w:rPr>
              <w:t>2462.4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221" w:type="pct"/>
            <w:vMerge w:val="continue"/>
            <w:vAlign w:val="center"/>
          </w:tcPr>
          <w:p>
            <w:pPr>
              <w:spacing w:line="240" w:lineRule="auto"/>
              <w:ind w:firstLine="0" w:firstLineChars="0"/>
              <w:jc w:val="center"/>
              <w:rPr>
                <w:rFonts w:cs="Times New Roman"/>
                <w:sz w:val="21"/>
                <w:szCs w:val="21"/>
              </w:rPr>
            </w:pPr>
          </w:p>
        </w:tc>
        <w:tc>
          <w:tcPr>
            <w:tcW w:w="221"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2</w:t>
            </w:r>
          </w:p>
        </w:tc>
        <w:tc>
          <w:tcPr>
            <w:tcW w:w="368"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441"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郭家滩村</w:t>
            </w:r>
          </w:p>
        </w:tc>
        <w:tc>
          <w:tcPr>
            <w:tcW w:w="390" w:type="pct"/>
            <w:vMerge w:val="continue"/>
            <w:vAlign w:val="center"/>
          </w:tcPr>
          <w:p>
            <w:pPr>
              <w:spacing w:line="240" w:lineRule="auto"/>
              <w:ind w:firstLine="0" w:firstLineChars="0"/>
              <w:jc w:val="center"/>
              <w:rPr>
                <w:rFonts w:cs="Times New Roman"/>
                <w:sz w:val="21"/>
                <w:szCs w:val="21"/>
              </w:rPr>
            </w:pPr>
          </w:p>
        </w:tc>
        <w:tc>
          <w:tcPr>
            <w:tcW w:w="1224" w:type="pct"/>
            <w:vMerge w:val="continue"/>
            <w:vAlign w:val="center"/>
          </w:tcPr>
          <w:p>
            <w:pPr>
              <w:spacing w:line="240" w:lineRule="auto"/>
              <w:ind w:firstLine="420"/>
              <w:jc w:val="center"/>
              <w:rPr>
                <w:rFonts w:cs="Times New Roman"/>
                <w:sz w:val="21"/>
                <w:szCs w:val="21"/>
              </w:rPr>
            </w:pPr>
          </w:p>
        </w:tc>
        <w:tc>
          <w:tcPr>
            <w:tcW w:w="359" w:type="pct"/>
            <w:vMerge w:val="continue"/>
            <w:vAlign w:val="center"/>
          </w:tcPr>
          <w:p>
            <w:pPr>
              <w:spacing w:line="240" w:lineRule="auto"/>
              <w:ind w:firstLine="420"/>
              <w:jc w:val="center"/>
              <w:rPr>
                <w:rFonts w:cs="Times New Roman"/>
                <w:sz w:val="21"/>
                <w:szCs w:val="21"/>
              </w:rPr>
            </w:pPr>
          </w:p>
        </w:tc>
        <w:tc>
          <w:tcPr>
            <w:tcW w:w="295" w:type="pct"/>
            <w:vMerge w:val="continue"/>
            <w:vAlign w:val="center"/>
          </w:tcPr>
          <w:p>
            <w:pPr>
              <w:spacing w:line="240" w:lineRule="auto"/>
              <w:ind w:firstLine="420"/>
              <w:jc w:val="center"/>
              <w:rPr>
                <w:rFonts w:cs="Times New Roman"/>
                <w:sz w:val="21"/>
                <w:szCs w:val="21"/>
              </w:rPr>
            </w:pPr>
          </w:p>
        </w:tc>
        <w:tc>
          <w:tcPr>
            <w:tcW w:w="295" w:type="pct"/>
            <w:vMerge w:val="continue"/>
            <w:vAlign w:val="center"/>
          </w:tcPr>
          <w:p>
            <w:pPr>
              <w:spacing w:line="240" w:lineRule="auto"/>
              <w:ind w:firstLine="0" w:firstLineChars="0"/>
              <w:jc w:val="center"/>
              <w:rPr>
                <w:rFonts w:cs="Times New Roman"/>
                <w:sz w:val="21"/>
                <w:szCs w:val="21"/>
              </w:rPr>
            </w:pPr>
          </w:p>
        </w:tc>
        <w:tc>
          <w:tcPr>
            <w:tcW w:w="315" w:type="pct"/>
            <w:vMerge w:val="continue"/>
            <w:vAlign w:val="center"/>
          </w:tcPr>
          <w:p>
            <w:pPr>
              <w:spacing w:line="240" w:lineRule="auto"/>
              <w:ind w:firstLine="420"/>
              <w:jc w:val="center"/>
              <w:rPr>
                <w:rFonts w:cs="Times New Roman"/>
                <w:sz w:val="21"/>
                <w:szCs w:val="21"/>
              </w:rPr>
            </w:pPr>
          </w:p>
        </w:tc>
        <w:tc>
          <w:tcPr>
            <w:tcW w:w="313" w:type="pct"/>
            <w:vMerge w:val="continue"/>
            <w:vAlign w:val="center"/>
          </w:tcPr>
          <w:p>
            <w:pPr>
              <w:spacing w:line="240" w:lineRule="auto"/>
              <w:ind w:firstLine="0" w:firstLineChars="0"/>
              <w:jc w:val="center"/>
              <w:rPr>
                <w:rFonts w:cs="Times New Roman"/>
                <w:sz w:val="21"/>
                <w:szCs w:val="21"/>
              </w:rPr>
            </w:pPr>
          </w:p>
        </w:tc>
        <w:tc>
          <w:tcPr>
            <w:tcW w:w="551" w:type="pct"/>
            <w:vMerge w:val="continue"/>
            <w:vAlign w:val="center"/>
          </w:tcPr>
          <w:p>
            <w:pPr>
              <w:spacing w:line="240" w:lineRule="auto"/>
              <w:ind w:firstLine="42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221" w:type="pct"/>
            <w:vMerge w:val="continue"/>
            <w:vAlign w:val="center"/>
          </w:tcPr>
          <w:p>
            <w:pPr>
              <w:spacing w:line="240" w:lineRule="auto"/>
              <w:ind w:firstLine="0" w:firstLineChars="0"/>
              <w:jc w:val="center"/>
              <w:rPr>
                <w:rFonts w:cs="Times New Roman"/>
                <w:sz w:val="21"/>
                <w:szCs w:val="21"/>
              </w:rPr>
            </w:pPr>
          </w:p>
        </w:tc>
        <w:tc>
          <w:tcPr>
            <w:tcW w:w="221"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3</w:t>
            </w:r>
          </w:p>
        </w:tc>
        <w:tc>
          <w:tcPr>
            <w:tcW w:w="368"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441" w:type="pct"/>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马</w:t>
            </w:r>
            <w:r>
              <w:rPr>
                <w:rFonts w:cs="Times New Roman"/>
                <w:sz w:val="21"/>
                <w:szCs w:val="21"/>
              </w:rPr>
              <w:t>家滩村</w:t>
            </w:r>
          </w:p>
        </w:tc>
        <w:tc>
          <w:tcPr>
            <w:tcW w:w="390" w:type="pct"/>
            <w:vMerge w:val="continue"/>
            <w:vAlign w:val="center"/>
          </w:tcPr>
          <w:p>
            <w:pPr>
              <w:spacing w:line="240" w:lineRule="auto"/>
              <w:ind w:firstLine="0" w:firstLineChars="0"/>
              <w:jc w:val="center"/>
              <w:rPr>
                <w:rFonts w:cs="Times New Roman"/>
                <w:sz w:val="21"/>
                <w:szCs w:val="21"/>
              </w:rPr>
            </w:pPr>
          </w:p>
        </w:tc>
        <w:tc>
          <w:tcPr>
            <w:tcW w:w="1224" w:type="pct"/>
            <w:vMerge w:val="continue"/>
            <w:vAlign w:val="center"/>
          </w:tcPr>
          <w:p>
            <w:pPr>
              <w:spacing w:line="240" w:lineRule="auto"/>
              <w:ind w:firstLine="0" w:firstLineChars="0"/>
              <w:jc w:val="center"/>
              <w:rPr>
                <w:rFonts w:cs="Times New Roman"/>
                <w:sz w:val="21"/>
                <w:szCs w:val="21"/>
              </w:rPr>
            </w:pPr>
          </w:p>
        </w:tc>
        <w:tc>
          <w:tcPr>
            <w:tcW w:w="359" w:type="pct"/>
            <w:vMerge w:val="continue"/>
            <w:vAlign w:val="center"/>
          </w:tcPr>
          <w:p>
            <w:pPr>
              <w:spacing w:line="240" w:lineRule="auto"/>
              <w:ind w:firstLine="0" w:firstLineChars="0"/>
              <w:jc w:val="center"/>
              <w:rPr>
                <w:rFonts w:cs="Times New Roman"/>
                <w:sz w:val="21"/>
                <w:szCs w:val="21"/>
              </w:rPr>
            </w:pPr>
          </w:p>
        </w:tc>
        <w:tc>
          <w:tcPr>
            <w:tcW w:w="295" w:type="pct"/>
            <w:vMerge w:val="continue"/>
            <w:vAlign w:val="center"/>
          </w:tcPr>
          <w:p>
            <w:pPr>
              <w:spacing w:line="240" w:lineRule="auto"/>
              <w:ind w:firstLine="0" w:firstLineChars="0"/>
              <w:jc w:val="center"/>
              <w:rPr>
                <w:rFonts w:cs="Times New Roman"/>
                <w:sz w:val="21"/>
                <w:szCs w:val="21"/>
              </w:rPr>
            </w:pPr>
          </w:p>
        </w:tc>
        <w:tc>
          <w:tcPr>
            <w:tcW w:w="295" w:type="pct"/>
            <w:vMerge w:val="continue"/>
            <w:vAlign w:val="center"/>
          </w:tcPr>
          <w:p>
            <w:pPr>
              <w:spacing w:line="240" w:lineRule="auto"/>
              <w:ind w:firstLine="0" w:firstLineChars="0"/>
              <w:jc w:val="center"/>
              <w:rPr>
                <w:rFonts w:cs="Times New Roman"/>
                <w:sz w:val="21"/>
                <w:szCs w:val="21"/>
              </w:rPr>
            </w:pPr>
          </w:p>
        </w:tc>
        <w:tc>
          <w:tcPr>
            <w:tcW w:w="315" w:type="pct"/>
            <w:vMerge w:val="continue"/>
            <w:vAlign w:val="center"/>
          </w:tcPr>
          <w:p>
            <w:pPr>
              <w:spacing w:line="240" w:lineRule="auto"/>
              <w:ind w:firstLine="0" w:firstLineChars="0"/>
              <w:jc w:val="center"/>
              <w:rPr>
                <w:rFonts w:cs="Times New Roman"/>
                <w:sz w:val="21"/>
                <w:szCs w:val="21"/>
              </w:rPr>
            </w:pPr>
          </w:p>
        </w:tc>
        <w:tc>
          <w:tcPr>
            <w:tcW w:w="313" w:type="pct"/>
            <w:vMerge w:val="continue"/>
            <w:vAlign w:val="center"/>
          </w:tcPr>
          <w:p>
            <w:pPr>
              <w:spacing w:line="240" w:lineRule="auto"/>
              <w:ind w:firstLine="0" w:firstLineChars="0"/>
              <w:jc w:val="center"/>
              <w:rPr>
                <w:rFonts w:cs="Times New Roman"/>
                <w:sz w:val="21"/>
                <w:szCs w:val="21"/>
              </w:rPr>
            </w:pPr>
          </w:p>
        </w:tc>
        <w:tc>
          <w:tcPr>
            <w:tcW w:w="551" w:type="pct"/>
            <w:vMerge w:val="continue"/>
            <w:vAlign w:val="center"/>
          </w:tcPr>
          <w:p>
            <w:pPr>
              <w:spacing w:line="240" w:lineRule="auto"/>
              <w:ind w:firstLine="42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221" w:type="pct"/>
            <w:vMerge w:val="restart"/>
            <w:vAlign w:val="center"/>
          </w:tcPr>
          <w:p>
            <w:pPr>
              <w:spacing w:line="240" w:lineRule="auto"/>
              <w:ind w:firstLine="0" w:firstLineChars="0"/>
              <w:jc w:val="center"/>
              <w:rPr>
                <w:rFonts w:hint="eastAsia" w:eastAsia="宋体" w:cs="Times New Roman"/>
                <w:sz w:val="21"/>
                <w:szCs w:val="21"/>
                <w:lang w:eastAsia="zh-CN"/>
              </w:rPr>
            </w:pPr>
            <w:r>
              <w:rPr>
                <w:rFonts w:cs="Times New Roman"/>
                <w:sz w:val="21"/>
                <w:szCs w:val="21"/>
              </w:rPr>
              <w:t>202</w:t>
            </w:r>
            <w:r>
              <w:rPr>
                <w:rFonts w:hint="eastAsia" w:cs="Times New Roman"/>
                <w:sz w:val="21"/>
                <w:szCs w:val="21"/>
                <w:lang w:val="en-US" w:eastAsia="zh-CN"/>
              </w:rPr>
              <w:t>2</w:t>
            </w:r>
          </w:p>
        </w:tc>
        <w:tc>
          <w:tcPr>
            <w:tcW w:w="221"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1</w:t>
            </w:r>
          </w:p>
        </w:tc>
        <w:tc>
          <w:tcPr>
            <w:tcW w:w="368" w:type="pct"/>
            <w:shd w:val="clear" w:color="auto" w:fill="auto"/>
            <w:noWrap/>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cs="Times New Roman"/>
                <w:sz w:val="21"/>
                <w:szCs w:val="21"/>
              </w:rPr>
              <w:t>桥头镇</w:t>
            </w:r>
          </w:p>
        </w:tc>
        <w:tc>
          <w:tcPr>
            <w:tcW w:w="441" w:type="pct"/>
            <w:shd w:val="clear" w:color="auto" w:fill="auto"/>
            <w:noWrap/>
            <w:vAlign w:val="center"/>
          </w:tcPr>
          <w:p>
            <w:pPr>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cs="Times New Roman"/>
                <w:sz w:val="21"/>
                <w:szCs w:val="21"/>
                <w:lang w:eastAsia="zh-CN"/>
              </w:rPr>
              <w:t>夏柳青村</w:t>
            </w:r>
          </w:p>
        </w:tc>
        <w:tc>
          <w:tcPr>
            <w:tcW w:w="390" w:type="pct"/>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cs="Times New Roman"/>
                <w:sz w:val="21"/>
                <w:szCs w:val="21"/>
              </w:rPr>
              <w:t>分散治理</w:t>
            </w:r>
          </w:p>
        </w:tc>
        <w:tc>
          <w:tcPr>
            <w:tcW w:w="1224" w:type="pct"/>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cs="Times New Roman"/>
                <w:kern w:val="0"/>
                <w:sz w:val="21"/>
                <w:szCs w:val="21"/>
              </w:rPr>
              <w:t>小型人工湿地/生物滤池</w:t>
            </w:r>
          </w:p>
        </w:tc>
        <w:tc>
          <w:tcPr>
            <w:tcW w:w="359" w:type="pct"/>
            <w:vAlign w:val="center"/>
          </w:tcPr>
          <w:p>
            <w:pPr>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cs="Times New Roman"/>
                <w:sz w:val="21"/>
                <w:szCs w:val="21"/>
                <w:lang w:val="en-US" w:eastAsia="zh-CN"/>
              </w:rPr>
              <w:t>0.36</w:t>
            </w:r>
          </w:p>
        </w:tc>
        <w:tc>
          <w:tcPr>
            <w:tcW w:w="295" w:type="pct"/>
            <w:vAlign w:val="center"/>
          </w:tcPr>
          <w:p>
            <w:pPr>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cs="Times New Roman"/>
                <w:sz w:val="21"/>
                <w:szCs w:val="21"/>
                <w:lang w:val="en-US" w:eastAsia="zh-CN"/>
              </w:rPr>
              <w:t>42</w:t>
            </w:r>
          </w:p>
        </w:tc>
        <w:tc>
          <w:tcPr>
            <w:tcW w:w="295" w:type="pct"/>
            <w:vAlign w:val="center"/>
          </w:tcPr>
          <w:p>
            <w:pPr>
              <w:spacing w:line="240" w:lineRule="auto"/>
              <w:ind w:firstLine="0" w:firstLineChars="0"/>
              <w:jc w:val="center"/>
              <w:rPr>
                <w:rFonts w:hint="default" w:eastAsia="宋体" w:cs="Times New Roman"/>
                <w:sz w:val="21"/>
                <w:szCs w:val="21"/>
                <w:lang w:val="en-US" w:eastAsia="zh-CN"/>
              </w:rPr>
            </w:pPr>
            <w:r>
              <w:rPr>
                <w:rFonts w:hint="eastAsia" w:cs="Times New Roman"/>
                <w:sz w:val="21"/>
                <w:szCs w:val="21"/>
                <w:lang w:val="en-US" w:eastAsia="zh-CN"/>
              </w:rPr>
              <w:t>168</w:t>
            </w:r>
          </w:p>
        </w:tc>
        <w:tc>
          <w:tcPr>
            <w:tcW w:w="315" w:type="pct"/>
            <w:vAlign w:val="center"/>
          </w:tcPr>
          <w:p>
            <w:pPr>
              <w:spacing w:line="240" w:lineRule="auto"/>
              <w:ind w:firstLine="0" w:firstLineChars="0"/>
              <w:jc w:val="center"/>
              <w:rPr>
                <w:rFonts w:hint="eastAsia" w:eastAsia="宋体" w:cs="Times New Roman"/>
                <w:sz w:val="21"/>
                <w:szCs w:val="21"/>
                <w:lang w:val="en-US" w:eastAsia="zh-CN"/>
              </w:rPr>
            </w:pPr>
            <w:r>
              <w:rPr>
                <w:rFonts w:hint="eastAsia" w:cs="Times New Roman"/>
                <w:sz w:val="21"/>
                <w:szCs w:val="21"/>
                <w:lang w:val="en-US" w:eastAsia="zh-CN"/>
              </w:rPr>
              <w:t>-</w:t>
            </w:r>
          </w:p>
        </w:tc>
        <w:tc>
          <w:tcPr>
            <w:tcW w:w="313" w:type="pct"/>
            <w:vAlign w:val="center"/>
          </w:tcPr>
          <w:p>
            <w:pPr>
              <w:spacing w:line="240" w:lineRule="auto"/>
              <w:ind w:firstLine="0" w:firstLineChars="0"/>
              <w:jc w:val="center"/>
              <w:rPr>
                <w:rFonts w:hint="eastAsia" w:eastAsia="宋体" w:cs="Times New Roman"/>
                <w:sz w:val="21"/>
                <w:szCs w:val="21"/>
                <w:lang w:val="en-US" w:eastAsia="zh-CN"/>
              </w:rPr>
            </w:pPr>
            <w:r>
              <w:rPr>
                <w:rFonts w:hint="eastAsia" w:cs="Times New Roman"/>
                <w:sz w:val="21"/>
                <w:szCs w:val="21"/>
                <w:lang w:val="en-US" w:eastAsia="zh-CN"/>
              </w:rPr>
              <w:t>-</w:t>
            </w:r>
          </w:p>
        </w:tc>
        <w:tc>
          <w:tcPr>
            <w:tcW w:w="551" w:type="pct"/>
            <w:vMerge w:val="restart"/>
            <w:vAlign w:val="center"/>
          </w:tcPr>
          <w:p>
            <w:pPr>
              <w:spacing w:line="240" w:lineRule="auto"/>
              <w:ind w:firstLine="0" w:firstLineChars="0"/>
              <w:jc w:val="center"/>
              <w:rPr>
                <w:rFonts w:hint="default" w:eastAsia="宋体" w:cs="Times New Roman"/>
                <w:sz w:val="21"/>
                <w:lang w:val="en-US" w:eastAsia="zh-CN"/>
              </w:rPr>
            </w:pPr>
            <w:r>
              <w:rPr>
                <w:rFonts w:hint="eastAsia" w:cs="Times New Roman"/>
                <w:sz w:val="21"/>
                <w:lang w:val="en-US" w:eastAsia="zh-CN"/>
              </w:rPr>
              <w:t>693.888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221" w:type="pct"/>
            <w:vMerge w:val="continue"/>
            <w:vAlign w:val="center"/>
          </w:tcPr>
          <w:p>
            <w:pPr>
              <w:spacing w:line="240" w:lineRule="auto"/>
              <w:ind w:firstLine="0" w:firstLineChars="0"/>
              <w:jc w:val="center"/>
              <w:rPr>
                <w:rFonts w:cs="Times New Roman"/>
                <w:sz w:val="21"/>
                <w:szCs w:val="21"/>
              </w:rPr>
            </w:pPr>
          </w:p>
        </w:tc>
        <w:tc>
          <w:tcPr>
            <w:tcW w:w="221" w:type="pct"/>
            <w:shd w:val="clear" w:color="auto" w:fill="auto"/>
            <w:noWrap/>
            <w:vAlign w:val="center"/>
          </w:tcPr>
          <w:p>
            <w:pPr>
              <w:spacing w:line="240" w:lineRule="auto"/>
              <w:ind w:firstLine="0" w:firstLineChars="0"/>
              <w:jc w:val="center"/>
              <w:rPr>
                <w:rFonts w:hint="eastAsia" w:eastAsia="宋体" w:cs="Times New Roman"/>
                <w:sz w:val="21"/>
                <w:szCs w:val="21"/>
                <w:lang w:val="en-US" w:eastAsia="zh-CN"/>
              </w:rPr>
            </w:pPr>
            <w:r>
              <w:rPr>
                <w:rFonts w:hint="eastAsia" w:cs="Times New Roman"/>
                <w:sz w:val="21"/>
                <w:szCs w:val="21"/>
                <w:lang w:val="en-US" w:eastAsia="zh-CN"/>
              </w:rPr>
              <w:t>2</w:t>
            </w:r>
          </w:p>
        </w:tc>
        <w:tc>
          <w:tcPr>
            <w:tcW w:w="368" w:type="pct"/>
            <w:shd w:val="clear" w:color="auto" w:fill="auto"/>
            <w:noWrap/>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cs="Times New Roman"/>
                <w:sz w:val="21"/>
                <w:szCs w:val="21"/>
              </w:rPr>
              <w:t>杨家湾镇</w:t>
            </w:r>
          </w:p>
        </w:tc>
        <w:tc>
          <w:tcPr>
            <w:tcW w:w="441" w:type="pct"/>
            <w:shd w:val="clear" w:color="auto" w:fill="auto"/>
            <w:noWrap/>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cs="Times New Roman"/>
                <w:sz w:val="21"/>
                <w:szCs w:val="21"/>
              </w:rPr>
              <w:t>花园村</w:t>
            </w:r>
          </w:p>
        </w:tc>
        <w:tc>
          <w:tcPr>
            <w:tcW w:w="390" w:type="pct"/>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cs="Times New Roman"/>
                <w:kern w:val="0"/>
                <w:sz w:val="21"/>
                <w:szCs w:val="21"/>
              </w:rPr>
              <w:t>集中治理</w:t>
            </w:r>
          </w:p>
        </w:tc>
        <w:tc>
          <w:tcPr>
            <w:tcW w:w="1224" w:type="pct"/>
            <w:vAlign w:val="center"/>
          </w:tcPr>
          <w:p>
            <w:pPr>
              <w:spacing w:line="240" w:lineRule="auto"/>
              <w:ind w:firstLine="48" w:firstLineChars="23"/>
              <w:jc w:val="center"/>
              <w:rPr>
                <w:rFonts w:ascii="Times New Roman" w:hAnsi="Times New Roman" w:eastAsia="宋体" w:cs="Times New Roman"/>
                <w:kern w:val="2"/>
                <w:sz w:val="21"/>
                <w:szCs w:val="21"/>
                <w:lang w:val="en-US" w:eastAsia="zh-CN" w:bidi="ar-SA"/>
              </w:rPr>
            </w:pPr>
            <w:r>
              <w:rPr>
                <w:rFonts w:cs="Times New Roman"/>
                <w:kern w:val="0"/>
                <w:sz w:val="21"/>
                <w:szCs w:val="21"/>
              </w:rPr>
              <w:t>生物接触氧化/移动床生物膜反应器</w:t>
            </w:r>
          </w:p>
        </w:tc>
        <w:tc>
          <w:tcPr>
            <w:tcW w:w="359" w:type="pct"/>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cs="Times New Roman"/>
                <w:sz w:val="21"/>
                <w:szCs w:val="21"/>
              </w:rPr>
              <w:t>100</w:t>
            </w:r>
          </w:p>
        </w:tc>
        <w:tc>
          <w:tcPr>
            <w:tcW w:w="295" w:type="pct"/>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cs="Times New Roman"/>
                <w:sz w:val="21"/>
                <w:szCs w:val="21"/>
              </w:rPr>
              <w:t>1</w:t>
            </w:r>
          </w:p>
        </w:tc>
        <w:tc>
          <w:tcPr>
            <w:tcW w:w="295" w:type="pct"/>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cs="Times New Roman"/>
                <w:sz w:val="21"/>
                <w:szCs w:val="21"/>
              </w:rPr>
              <w:t>200</w:t>
            </w:r>
          </w:p>
        </w:tc>
        <w:tc>
          <w:tcPr>
            <w:tcW w:w="315" w:type="pct"/>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cs="Times New Roman"/>
                <w:sz w:val="21"/>
                <w:szCs w:val="21"/>
              </w:rPr>
              <w:t>4.288</w:t>
            </w:r>
          </w:p>
        </w:tc>
        <w:tc>
          <w:tcPr>
            <w:tcW w:w="313" w:type="pct"/>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cs="Times New Roman"/>
                <w:sz w:val="21"/>
                <w:szCs w:val="21"/>
              </w:rPr>
              <w:t>325.888</w:t>
            </w:r>
          </w:p>
        </w:tc>
        <w:tc>
          <w:tcPr>
            <w:tcW w:w="551" w:type="pct"/>
            <w:vMerge w:val="continue"/>
            <w:vAlign w:val="center"/>
          </w:tcPr>
          <w:p>
            <w:pPr>
              <w:spacing w:line="240" w:lineRule="auto"/>
              <w:ind w:firstLine="0" w:firstLineChars="0"/>
              <w:jc w:val="center"/>
              <w:rPr>
                <w:rFonts w:cs="Times New Roman"/>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221" w:type="pct"/>
            <w:vMerge w:val="restart"/>
            <w:vAlign w:val="center"/>
          </w:tcPr>
          <w:p>
            <w:pPr>
              <w:spacing w:line="240" w:lineRule="auto"/>
              <w:ind w:firstLine="0" w:firstLineChars="0"/>
              <w:jc w:val="center"/>
              <w:rPr>
                <w:rFonts w:cs="Times New Roman"/>
                <w:sz w:val="21"/>
                <w:szCs w:val="21"/>
              </w:rPr>
            </w:pPr>
            <w:r>
              <w:rPr>
                <w:rFonts w:cs="Times New Roman"/>
                <w:sz w:val="21"/>
                <w:szCs w:val="21"/>
              </w:rPr>
              <w:t>2023</w:t>
            </w:r>
          </w:p>
        </w:tc>
        <w:tc>
          <w:tcPr>
            <w:tcW w:w="221"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1</w:t>
            </w:r>
          </w:p>
        </w:tc>
        <w:tc>
          <w:tcPr>
            <w:tcW w:w="368"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东关镇</w:t>
            </w:r>
          </w:p>
        </w:tc>
        <w:tc>
          <w:tcPr>
            <w:tcW w:w="441" w:type="pct"/>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王家滩</w:t>
            </w:r>
            <w:r>
              <w:rPr>
                <w:rFonts w:cs="Times New Roman"/>
                <w:sz w:val="21"/>
                <w:szCs w:val="21"/>
              </w:rPr>
              <w:t>村</w:t>
            </w:r>
          </w:p>
        </w:tc>
        <w:tc>
          <w:tcPr>
            <w:tcW w:w="390" w:type="pct"/>
            <w:vAlign w:val="center"/>
          </w:tcPr>
          <w:p>
            <w:pPr>
              <w:spacing w:line="240" w:lineRule="auto"/>
              <w:ind w:firstLine="0" w:firstLineChars="0"/>
              <w:jc w:val="center"/>
              <w:rPr>
                <w:rFonts w:cs="Times New Roman"/>
                <w:kern w:val="0"/>
                <w:sz w:val="21"/>
                <w:szCs w:val="21"/>
              </w:rPr>
            </w:pPr>
            <w:r>
              <w:rPr>
                <w:rFonts w:hint="eastAsia" w:cs="Times New Roman"/>
                <w:kern w:val="0"/>
                <w:sz w:val="21"/>
                <w:szCs w:val="21"/>
              </w:rPr>
              <w:t>截污纳网</w:t>
            </w:r>
          </w:p>
        </w:tc>
        <w:tc>
          <w:tcPr>
            <w:tcW w:w="1224" w:type="pct"/>
            <w:vAlign w:val="center"/>
          </w:tcPr>
          <w:p>
            <w:pPr>
              <w:spacing w:line="240" w:lineRule="auto"/>
              <w:ind w:firstLine="0" w:firstLineChars="0"/>
              <w:jc w:val="center"/>
              <w:rPr>
                <w:rFonts w:hint="eastAsia" w:eastAsia="宋体" w:cs="Times New Roman"/>
                <w:kern w:val="0"/>
                <w:sz w:val="21"/>
                <w:szCs w:val="21"/>
                <w:lang w:val="en-US" w:eastAsia="zh-CN"/>
              </w:rPr>
            </w:pPr>
            <w:r>
              <w:rPr>
                <w:rFonts w:hint="eastAsia" w:cs="Times New Roman"/>
                <w:kern w:val="0"/>
                <w:sz w:val="21"/>
                <w:szCs w:val="21"/>
                <w:lang w:val="en-US" w:eastAsia="zh-CN"/>
              </w:rPr>
              <w:t>-</w:t>
            </w:r>
          </w:p>
        </w:tc>
        <w:tc>
          <w:tcPr>
            <w:tcW w:w="359" w:type="pct"/>
            <w:vMerge w:val="restart"/>
            <w:vAlign w:val="center"/>
          </w:tcPr>
          <w:p>
            <w:pPr>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295" w:type="pct"/>
            <w:vMerge w:val="restart"/>
            <w:vAlign w:val="center"/>
          </w:tcPr>
          <w:p>
            <w:pPr>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295" w:type="pct"/>
            <w:vMerge w:val="restart"/>
            <w:vAlign w:val="center"/>
          </w:tcPr>
          <w:p>
            <w:pPr>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315" w:type="pct"/>
            <w:vMerge w:val="restart"/>
            <w:vAlign w:val="center"/>
          </w:tcPr>
          <w:p>
            <w:pPr>
              <w:spacing w:line="240" w:lineRule="auto"/>
              <w:ind w:firstLine="0" w:firstLineChars="0"/>
              <w:jc w:val="center"/>
              <w:rPr>
                <w:rFonts w:cs="Times New Roman"/>
                <w:kern w:val="0"/>
                <w:sz w:val="21"/>
                <w:szCs w:val="21"/>
              </w:rPr>
            </w:pPr>
            <w:r>
              <w:rPr>
                <w:rFonts w:hint="eastAsia" w:cs="Times New Roman"/>
                <w:kern w:val="0"/>
                <w:sz w:val="21"/>
                <w:szCs w:val="21"/>
              </w:rPr>
              <w:t>3.729</w:t>
            </w:r>
          </w:p>
        </w:tc>
        <w:tc>
          <w:tcPr>
            <w:tcW w:w="313" w:type="pct"/>
            <w:vMerge w:val="restart"/>
            <w:vAlign w:val="center"/>
          </w:tcPr>
          <w:p>
            <w:pPr>
              <w:spacing w:line="240" w:lineRule="auto"/>
              <w:ind w:firstLine="0" w:firstLineChars="0"/>
              <w:jc w:val="center"/>
              <w:rPr>
                <w:rFonts w:cs="Times New Roman"/>
                <w:kern w:val="0"/>
                <w:sz w:val="21"/>
                <w:szCs w:val="21"/>
              </w:rPr>
            </w:pPr>
            <w:r>
              <w:rPr>
                <w:rFonts w:hint="eastAsia" w:cs="Times New Roman"/>
                <w:kern w:val="0"/>
                <w:sz w:val="21"/>
                <w:szCs w:val="21"/>
              </w:rPr>
              <w:t>283.404</w:t>
            </w:r>
          </w:p>
        </w:tc>
        <w:tc>
          <w:tcPr>
            <w:tcW w:w="551" w:type="pct"/>
            <w:vMerge w:val="restart"/>
            <w:vAlign w:val="center"/>
          </w:tcPr>
          <w:p>
            <w:pPr>
              <w:spacing w:line="240" w:lineRule="auto"/>
              <w:ind w:firstLine="0" w:firstLineChars="0"/>
              <w:jc w:val="center"/>
              <w:rPr>
                <w:rFonts w:hint="default" w:eastAsia="宋体" w:cs="Times New Roman"/>
                <w:kern w:val="0"/>
                <w:sz w:val="21"/>
                <w:szCs w:val="21"/>
                <w:lang w:val="en-US" w:eastAsia="zh-CN"/>
              </w:rPr>
            </w:pPr>
            <w:r>
              <w:rPr>
                <w:rFonts w:hint="eastAsia" w:cs="Times New Roman"/>
                <w:kern w:val="0"/>
                <w:sz w:val="21"/>
                <w:szCs w:val="21"/>
                <w:lang w:val="en-US" w:eastAsia="zh-CN"/>
              </w:rPr>
              <w:t>283.404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221" w:type="pct"/>
            <w:vMerge w:val="continue"/>
            <w:vAlign w:val="center"/>
          </w:tcPr>
          <w:p>
            <w:pPr>
              <w:spacing w:line="240" w:lineRule="auto"/>
              <w:ind w:firstLine="0" w:firstLineChars="0"/>
              <w:jc w:val="center"/>
              <w:rPr>
                <w:rFonts w:cs="Times New Roman"/>
                <w:sz w:val="21"/>
                <w:szCs w:val="21"/>
              </w:rPr>
            </w:pPr>
          </w:p>
        </w:tc>
        <w:tc>
          <w:tcPr>
            <w:tcW w:w="221"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2</w:t>
            </w:r>
          </w:p>
        </w:tc>
        <w:tc>
          <w:tcPr>
            <w:tcW w:w="368" w:type="pct"/>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东关镇</w:t>
            </w:r>
          </w:p>
        </w:tc>
        <w:tc>
          <w:tcPr>
            <w:tcW w:w="441" w:type="pct"/>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张家圪</w:t>
            </w:r>
            <w:r>
              <w:rPr>
                <w:rFonts w:hint="eastAsia" w:cs="Times New Roman"/>
                <w:sz w:val="21"/>
                <w:szCs w:val="21"/>
                <w:lang w:eastAsia="zh-CN"/>
              </w:rPr>
              <w:t>坨</w:t>
            </w:r>
            <w:r>
              <w:rPr>
                <w:rFonts w:hint="eastAsia" w:cs="Times New Roman"/>
                <w:sz w:val="21"/>
                <w:szCs w:val="21"/>
              </w:rPr>
              <w:t>村</w:t>
            </w:r>
          </w:p>
        </w:tc>
        <w:tc>
          <w:tcPr>
            <w:tcW w:w="390" w:type="pct"/>
            <w:vAlign w:val="center"/>
          </w:tcPr>
          <w:p>
            <w:pPr>
              <w:spacing w:line="240" w:lineRule="auto"/>
              <w:ind w:firstLine="0" w:firstLineChars="0"/>
              <w:jc w:val="center"/>
              <w:rPr>
                <w:rFonts w:cs="Times New Roman"/>
                <w:sz w:val="21"/>
                <w:szCs w:val="21"/>
              </w:rPr>
            </w:pPr>
            <w:r>
              <w:rPr>
                <w:rFonts w:hint="eastAsia" w:cs="Times New Roman"/>
                <w:kern w:val="0"/>
                <w:sz w:val="21"/>
                <w:szCs w:val="21"/>
              </w:rPr>
              <w:t>截污纳网</w:t>
            </w:r>
          </w:p>
        </w:tc>
        <w:tc>
          <w:tcPr>
            <w:tcW w:w="1224" w:type="pct"/>
            <w:vAlign w:val="center"/>
          </w:tcPr>
          <w:p>
            <w:pPr>
              <w:spacing w:line="240" w:lineRule="auto"/>
              <w:ind w:firstLine="0" w:firstLineChars="0"/>
              <w:jc w:val="center"/>
              <w:rPr>
                <w:rFonts w:hint="eastAsia" w:eastAsia="宋体" w:cs="Times New Roman"/>
                <w:sz w:val="21"/>
                <w:szCs w:val="21"/>
                <w:lang w:val="en-US" w:eastAsia="zh-CN"/>
              </w:rPr>
            </w:pPr>
            <w:r>
              <w:rPr>
                <w:rFonts w:hint="eastAsia" w:cs="Times New Roman"/>
                <w:sz w:val="21"/>
                <w:szCs w:val="21"/>
                <w:lang w:val="en-US" w:eastAsia="zh-CN"/>
              </w:rPr>
              <w:t>-</w:t>
            </w:r>
          </w:p>
        </w:tc>
        <w:tc>
          <w:tcPr>
            <w:tcW w:w="359" w:type="pct"/>
            <w:vMerge w:val="continue"/>
            <w:vAlign w:val="center"/>
          </w:tcPr>
          <w:p>
            <w:pPr>
              <w:spacing w:line="240" w:lineRule="auto"/>
              <w:ind w:firstLine="0" w:firstLineChars="0"/>
              <w:jc w:val="center"/>
              <w:rPr>
                <w:rFonts w:cs="Times New Roman"/>
                <w:sz w:val="21"/>
                <w:szCs w:val="21"/>
              </w:rPr>
            </w:pPr>
          </w:p>
        </w:tc>
        <w:tc>
          <w:tcPr>
            <w:tcW w:w="295" w:type="pct"/>
            <w:vMerge w:val="continue"/>
            <w:vAlign w:val="center"/>
          </w:tcPr>
          <w:p>
            <w:pPr>
              <w:spacing w:line="240" w:lineRule="auto"/>
              <w:ind w:firstLine="0" w:firstLineChars="0"/>
              <w:jc w:val="center"/>
              <w:rPr>
                <w:rFonts w:cs="Times New Roman"/>
                <w:sz w:val="21"/>
                <w:szCs w:val="21"/>
              </w:rPr>
            </w:pPr>
          </w:p>
        </w:tc>
        <w:tc>
          <w:tcPr>
            <w:tcW w:w="295" w:type="pct"/>
            <w:vMerge w:val="continue"/>
            <w:vAlign w:val="center"/>
          </w:tcPr>
          <w:p>
            <w:pPr>
              <w:spacing w:line="240" w:lineRule="auto"/>
              <w:ind w:firstLine="0" w:firstLineChars="0"/>
              <w:jc w:val="center"/>
              <w:rPr>
                <w:rFonts w:cs="Times New Roman"/>
                <w:sz w:val="21"/>
                <w:szCs w:val="21"/>
              </w:rPr>
            </w:pPr>
          </w:p>
        </w:tc>
        <w:tc>
          <w:tcPr>
            <w:tcW w:w="315" w:type="pct"/>
            <w:vMerge w:val="continue"/>
            <w:vAlign w:val="center"/>
          </w:tcPr>
          <w:p>
            <w:pPr>
              <w:spacing w:line="240" w:lineRule="auto"/>
              <w:ind w:firstLine="0" w:firstLineChars="0"/>
              <w:jc w:val="center"/>
              <w:rPr>
                <w:rFonts w:cs="Times New Roman"/>
                <w:sz w:val="21"/>
                <w:szCs w:val="21"/>
              </w:rPr>
            </w:pPr>
          </w:p>
        </w:tc>
        <w:tc>
          <w:tcPr>
            <w:tcW w:w="313" w:type="pct"/>
            <w:vMerge w:val="continue"/>
            <w:vAlign w:val="center"/>
          </w:tcPr>
          <w:p>
            <w:pPr>
              <w:spacing w:line="240" w:lineRule="auto"/>
              <w:ind w:firstLine="0" w:firstLineChars="0"/>
              <w:jc w:val="center"/>
              <w:rPr>
                <w:rFonts w:cs="Times New Roman"/>
                <w:sz w:val="21"/>
                <w:szCs w:val="21"/>
              </w:rPr>
            </w:pPr>
          </w:p>
        </w:tc>
        <w:tc>
          <w:tcPr>
            <w:tcW w:w="551" w:type="pct"/>
            <w:vMerge w:val="continue"/>
            <w:vAlign w:val="center"/>
          </w:tcPr>
          <w:p>
            <w:pPr>
              <w:spacing w:line="240" w:lineRule="auto"/>
              <w:ind w:firstLine="0" w:firstLineChars="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221" w:type="pct"/>
            <w:vMerge w:val="restart"/>
            <w:vAlign w:val="center"/>
          </w:tcPr>
          <w:p>
            <w:pPr>
              <w:spacing w:line="240" w:lineRule="auto"/>
              <w:ind w:firstLine="0" w:firstLineChars="0"/>
              <w:jc w:val="center"/>
              <w:rPr>
                <w:rFonts w:hint="default" w:eastAsia="宋体" w:cs="Times New Roman"/>
                <w:sz w:val="21"/>
                <w:szCs w:val="21"/>
                <w:lang w:val="en-US" w:eastAsia="zh-CN"/>
              </w:rPr>
            </w:pPr>
            <w:r>
              <w:rPr>
                <w:rFonts w:hint="eastAsia" w:cs="Times New Roman"/>
                <w:sz w:val="21"/>
                <w:szCs w:val="21"/>
                <w:lang w:val="en-US" w:eastAsia="zh-CN"/>
              </w:rPr>
              <w:t>2024</w:t>
            </w:r>
          </w:p>
        </w:tc>
        <w:tc>
          <w:tcPr>
            <w:tcW w:w="221" w:type="pct"/>
            <w:shd w:val="clear" w:color="auto" w:fill="auto"/>
            <w:noWrap/>
            <w:vAlign w:val="center"/>
          </w:tcPr>
          <w:p>
            <w:pPr>
              <w:spacing w:line="240" w:lineRule="auto"/>
              <w:ind w:firstLine="0" w:firstLineChars="0"/>
              <w:jc w:val="center"/>
              <w:rPr>
                <w:rFonts w:hint="eastAsia" w:eastAsia="宋体" w:cs="Times New Roman"/>
                <w:sz w:val="21"/>
                <w:szCs w:val="21"/>
                <w:lang w:val="en-US" w:eastAsia="zh-CN"/>
              </w:rPr>
            </w:pPr>
            <w:r>
              <w:rPr>
                <w:rFonts w:hint="eastAsia" w:cs="Times New Roman"/>
                <w:sz w:val="21"/>
                <w:szCs w:val="21"/>
                <w:lang w:val="en-US" w:eastAsia="zh-CN"/>
              </w:rPr>
              <w:t>1</w:t>
            </w:r>
          </w:p>
        </w:tc>
        <w:tc>
          <w:tcPr>
            <w:tcW w:w="368" w:type="pct"/>
            <w:shd w:val="clear" w:color="auto" w:fill="auto"/>
            <w:noWrap/>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cs="Times New Roman"/>
                <w:sz w:val="21"/>
                <w:szCs w:val="21"/>
              </w:rPr>
              <w:t>义门镇</w:t>
            </w:r>
          </w:p>
        </w:tc>
        <w:tc>
          <w:tcPr>
            <w:tcW w:w="441" w:type="pct"/>
            <w:shd w:val="clear" w:color="auto" w:fill="auto"/>
            <w:noWrap/>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cs="Times New Roman"/>
                <w:sz w:val="21"/>
                <w:szCs w:val="21"/>
              </w:rPr>
              <w:t>刘家畔村</w:t>
            </w:r>
          </w:p>
        </w:tc>
        <w:tc>
          <w:tcPr>
            <w:tcW w:w="390" w:type="pct"/>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cs="Times New Roman"/>
                <w:sz w:val="21"/>
                <w:szCs w:val="21"/>
              </w:rPr>
              <w:t>分散治理</w:t>
            </w:r>
          </w:p>
        </w:tc>
        <w:tc>
          <w:tcPr>
            <w:tcW w:w="1224" w:type="pct"/>
            <w:vAlign w:val="center"/>
          </w:tcPr>
          <w:p>
            <w:pPr>
              <w:spacing w:line="240" w:lineRule="auto"/>
              <w:ind w:firstLine="0" w:firstLineChars="0"/>
              <w:jc w:val="center"/>
              <w:rPr>
                <w:rFonts w:ascii="Times New Roman" w:hAnsi="Times New Roman" w:eastAsia="宋体" w:cs="Times New Roman"/>
                <w:kern w:val="2"/>
                <w:sz w:val="21"/>
                <w:szCs w:val="21"/>
                <w:lang w:val="en-US" w:eastAsia="zh-CN" w:bidi="ar-SA"/>
              </w:rPr>
            </w:pPr>
            <w:r>
              <w:rPr>
                <w:rFonts w:cs="Times New Roman"/>
                <w:kern w:val="0"/>
                <w:sz w:val="21"/>
                <w:szCs w:val="21"/>
              </w:rPr>
              <w:t>小型人工湿地/生物滤池</w:t>
            </w:r>
          </w:p>
        </w:tc>
        <w:tc>
          <w:tcPr>
            <w:tcW w:w="359" w:type="pct"/>
            <w:vAlign w:val="center"/>
          </w:tcPr>
          <w:p>
            <w:pPr>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cs="Times New Roman"/>
                <w:sz w:val="21"/>
                <w:szCs w:val="21"/>
                <w:lang w:val="en-US" w:eastAsia="zh-CN"/>
              </w:rPr>
              <w:t>0.18</w:t>
            </w:r>
          </w:p>
        </w:tc>
        <w:tc>
          <w:tcPr>
            <w:tcW w:w="295" w:type="pct"/>
            <w:vAlign w:val="center"/>
          </w:tcPr>
          <w:p>
            <w:pPr>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cs="Times New Roman"/>
                <w:sz w:val="21"/>
                <w:szCs w:val="21"/>
                <w:lang w:val="en-US" w:eastAsia="zh-CN"/>
              </w:rPr>
              <w:t>24</w:t>
            </w:r>
          </w:p>
        </w:tc>
        <w:tc>
          <w:tcPr>
            <w:tcW w:w="295" w:type="pct"/>
            <w:vAlign w:val="center"/>
          </w:tcPr>
          <w:p>
            <w:pPr>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96</w:t>
            </w:r>
          </w:p>
        </w:tc>
        <w:tc>
          <w:tcPr>
            <w:tcW w:w="315" w:type="pct"/>
            <w:vAlign w:val="center"/>
          </w:tcPr>
          <w:p>
            <w:pPr>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w:t>
            </w:r>
          </w:p>
        </w:tc>
        <w:tc>
          <w:tcPr>
            <w:tcW w:w="313" w:type="pct"/>
            <w:vAlign w:val="center"/>
          </w:tcPr>
          <w:p>
            <w:pPr>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w:t>
            </w:r>
          </w:p>
        </w:tc>
        <w:tc>
          <w:tcPr>
            <w:tcW w:w="551" w:type="pct"/>
            <w:vMerge w:val="restart"/>
            <w:vAlign w:val="center"/>
          </w:tcPr>
          <w:p>
            <w:pPr>
              <w:spacing w:line="240" w:lineRule="auto"/>
              <w:ind w:firstLine="0" w:firstLineChars="0"/>
              <w:jc w:val="center"/>
              <w:rPr>
                <w:rFonts w:hint="default" w:eastAsia="宋体" w:cs="Times New Roman"/>
                <w:sz w:val="21"/>
                <w:szCs w:val="21"/>
                <w:lang w:val="en-US" w:eastAsia="zh-CN"/>
              </w:rPr>
            </w:pPr>
            <w:r>
              <w:rPr>
                <w:rFonts w:hint="eastAsia" w:cs="Times New Roman"/>
                <w:sz w:val="21"/>
                <w:szCs w:val="21"/>
                <w:lang w:val="en-US" w:eastAsia="zh-CN"/>
              </w:rPr>
              <w:t>268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221" w:type="pct"/>
            <w:vMerge w:val="continue"/>
            <w:vAlign w:val="center"/>
          </w:tcPr>
          <w:p>
            <w:pPr>
              <w:spacing w:line="240" w:lineRule="auto"/>
              <w:ind w:firstLine="0" w:firstLineChars="0"/>
              <w:jc w:val="center"/>
              <w:rPr>
                <w:rFonts w:cs="Times New Roman"/>
                <w:sz w:val="21"/>
                <w:szCs w:val="21"/>
              </w:rPr>
            </w:pPr>
          </w:p>
        </w:tc>
        <w:tc>
          <w:tcPr>
            <w:tcW w:w="221" w:type="pct"/>
            <w:shd w:val="clear" w:color="auto" w:fill="auto"/>
            <w:noWrap/>
            <w:vAlign w:val="center"/>
          </w:tcPr>
          <w:p>
            <w:pPr>
              <w:spacing w:line="240" w:lineRule="auto"/>
              <w:ind w:firstLine="0" w:firstLineChars="0"/>
              <w:jc w:val="center"/>
              <w:rPr>
                <w:rFonts w:hint="eastAsia" w:eastAsia="宋体" w:cs="Times New Roman"/>
                <w:sz w:val="21"/>
                <w:szCs w:val="21"/>
                <w:lang w:eastAsia="zh-CN"/>
              </w:rPr>
            </w:pPr>
            <w:r>
              <w:rPr>
                <w:rFonts w:hint="eastAsia" w:cs="Times New Roman"/>
                <w:sz w:val="21"/>
                <w:szCs w:val="21"/>
                <w:lang w:val="en-US" w:eastAsia="zh-CN"/>
              </w:rPr>
              <w:t>2</w:t>
            </w:r>
          </w:p>
        </w:tc>
        <w:tc>
          <w:tcPr>
            <w:tcW w:w="368"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腰庄乡</w:t>
            </w:r>
          </w:p>
        </w:tc>
        <w:tc>
          <w:tcPr>
            <w:tcW w:w="441"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腰庄村</w:t>
            </w:r>
          </w:p>
        </w:tc>
        <w:tc>
          <w:tcPr>
            <w:tcW w:w="390" w:type="pct"/>
            <w:vAlign w:val="center"/>
          </w:tcPr>
          <w:p>
            <w:pPr>
              <w:spacing w:line="240" w:lineRule="auto"/>
              <w:ind w:firstLine="0" w:firstLineChars="0"/>
              <w:jc w:val="center"/>
              <w:rPr>
                <w:rFonts w:cs="Times New Roman"/>
                <w:sz w:val="21"/>
                <w:szCs w:val="21"/>
              </w:rPr>
            </w:pPr>
            <w:r>
              <w:rPr>
                <w:rFonts w:cs="Times New Roman"/>
                <w:sz w:val="21"/>
                <w:szCs w:val="21"/>
              </w:rPr>
              <w:t>分散治理</w:t>
            </w:r>
          </w:p>
        </w:tc>
        <w:tc>
          <w:tcPr>
            <w:tcW w:w="1224" w:type="pct"/>
            <w:vAlign w:val="center"/>
          </w:tcPr>
          <w:p>
            <w:pPr>
              <w:spacing w:line="240" w:lineRule="auto"/>
              <w:ind w:firstLine="0" w:firstLineChars="0"/>
              <w:jc w:val="center"/>
              <w:rPr>
                <w:rFonts w:cs="Times New Roman"/>
                <w:sz w:val="21"/>
                <w:szCs w:val="21"/>
              </w:rPr>
            </w:pPr>
            <w:r>
              <w:rPr>
                <w:rFonts w:cs="Times New Roman"/>
                <w:kern w:val="0"/>
                <w:sz w:val="21"/>
                <w:szCs w:val="21"/>
              </w:rPr>
              <w:t>小型人工湿地/生物滤池</w:t>
            </w:r>
          </w:p>
        </w:tc>
        <w:tc>
          <w:tcPr>
            <w:tcW w:w="359" w:type="pct"/>
            <w:vAlign w:val="center"/>
          </w:tcPr>
          <w:p>
            <w:pPr>
              <w:spacing w:line="240" w:lineRule="auto"/>
              <w:ind w:firstLine="0" w:firstLineChars="0"/>
              <w:jc w:val="center"/>
              <w:rPr>
                <w:rFonts w:hint="default" w:eastAsia="宋体" w:cs="Times New Roman"/>
                <w:sz w:val="21"/>
                <w:szCs w:val="21"/>
                <w:lang w:val="en-US" w:eastAsia="zh-CN"/>
              </w:rPr>
            </w:pPr>
            <w:r>
              <w:rPr>
                <w:rFonts w:hint="eastAsia" w:cs="Times New Roman"/>
                <w:sz w:val="21"/>
                <w:szCs w:val="21"/>
                <w:lang w:val="en-US" w:eastAsia="zh-CN"/>
              </w:rPr>
              <w:t>0.378</w:t>
            </w:r>
          </w:p>
        </w:tc>
        <w:tc>
          <w:tcPr>
            <w:tcW w:w="295" w:type="pct"/>
            <w:vAlign w:val="center"/>
          </w:tcPr>
          <w:p>
            <w:pPr>
              <w:spacing w:line="240" w:lineRule="auto"/>
              <w:ind w:firstLine="0" w:firstLineChars="0"/>
              <w:jc w:val="center"/>
              <w:rPr>
                <w:rFonts w:hint="default" w:eastAsia="宋体" w:cs="Times New Roman"/>
                <w:sz w:val="21"/>
                <w:szCs w:val="21"/>
                <w:lang w:val="en-US" w:eastAsia="zh-CN"/>
              </w:rPr>
            </w:pPr>
            <w:r>
              <w:rPr>
                <w:rFonts w:hint="eastAsia" w:cs="Times New Roman"/>
                <w:sz w:val="21"/>
                <w:szCs w:val="21"/>
                <w:lang w:val="en-US" w:eastAsia="zh-CN"/>
              </w:rPr>
              <w:t>43</w:t>
            </w:r>
          </w:p>
        </w:tc>
        <w:tc>
          <w:tcPr>
            <w:tcW w:w="295" w:type="pct"/>
            <w:vAlign w:val="center"/>
          </w:tcPr>
          <w:p>
            <w:pPr>
              <w:spacing w:line="240" w:lineRule="auto"/>
              <w:ind w:firstLine="0" w:firstLineChars="0"/>
              <w:jc w:val="center"/>
              <w:rPr>
                <w:rFonts w:hint="default" w:eastAsia="宋体" w:cs="Times New Roman"/>
                <w:sz w:val="21"/>
                <w:szCs w:val="21"/>
                <w:lang w:val="en-US" w:eastAsia="zh-CN"/>
              </w:rPr>
            </w:pPr>
            <w:r>
              <w:rPr>
                <w:rFonts w:hint="eastAsia" w:cs="Times New Roman"/>
                <w:sz w:val="21"/>
                <w:szCs w:val="21"/>
                <w:lang w:val="en-US" w:eastAsia="zh-CN"/>
              </w:rPr>
              <w:t>172</w:t>
            </w:r>
          </w:p>
        </w:tc>
        <w:tc>
          <w:tcPr>
            <w:tcW w:w="315" w:type="pct"/>
            <w:vAlign w:val="center"/>
          </w:tcPr>
          <w:p>
            <w:pPr>
              <w:spacing w:line="240" w:lineRule="auto"/>
              <w:ind w:firstLine="0" w:firstLineChars="0"/>
              <w:jc w:val="center"/>
              <w:rPr>
                <w:rFonts w:hint="eastAsia" w:eastAsia="宋体" w:cs="Times New Roman"/>
                <w:sz w:val="21"/>
                <w:szCs w:val="21"/>
                <w:lang w:val="en-US" w:eastAsia="zh-CN"/>
              </w:rPr>
            </w:pPr>
            <w:r>
              <w:rPr>
                <w:rFonts w:hint="eastAsia" w:cs="Times New Roman"/>
                <w:sz w:val="21"/>
                <w:szCs w:val="21"/>
                <w:lang w:val="en-US" w:eastAsia="zh-CN"/>
              </w:rPr>
              <w:t>-</w:t>
            </w:r>
          </w:p>
        </w:tc>
        <w:tc>
          <w:tcPr>
            <w:tcW w:w="313" w:type="pct"/>
            <w:vAlign w:val="center"/>
          </w:tcPr>
          <w:p>
            <w:pPr>
              <w:spacing w:line="240" w:lineRule="auto"/>
              <w:ind w:firstLine="0" w:firstLineChars="0"/>
              <w:jc w:val="center"/>
              <w:rPr>
                <w:rFonts w:hint="eastAsia" w:eastAsia="宋体" w:cs="Times New Roman"/>
                <w:sz w:val="21"/>
                <w:szCs w:val="21"/>
                <w:lang w:val="en-US" w:eastAsia="zh-CN"/>
              </w:rPr>
            </w:pPr>
            <w:r>
              <w:rPr>
                <w:rFonts w:hint="eastAsia" w:cs="Times New Roman"/>
                <w:sz w:val="21"/>
                <w:szCs w:val="21"/>
                <w:lang w:val="en-US" w:eastAsia="zh-CN"/>
              </w:rPr>
              <w:t>-</w:t>
            </w:r>
          </w:p>
        </w:tc>
        <w:tc>
          <w:tcPr>
            <w:tcW w:w="551" w:type="pct"/>
            <w:vMerge w:val="continue"/>
            <w:vAlign w:val="center"/>
          </w:tcPr>
          <w:p>
            <w:pPr>
              <w:spacing w:line="240" w:lineRule="auto"/>
              <w:ind w:firstLine="0" w:firstLineChars="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221" w:type="pct"/>
            <w:vMerge w:val="restart"/>
            <w:vAlign w:val="center"/>
          </w:tcPr>
          <w:p>
            <w:pPr>
              <w:spacing w:line="240" w:lineRule="auto"/>
              <w:ind w:firstLine="0" w:firstLineChars="0"/>
              <w:jc w:val="center"/>
              <w:rPr>
                <w:rFonts w:cs="Times New Roman"/>
                <w:sz w:val="21"/>
                <w:szCs w:val="21"/>
              </w:rPr>
            </w:pPr>
            <w:r>
              <w:rPr>
                <w:rFonts w:cs="Times New Roman"/>
                <w:sz w:val="21"/>
                <w:szCs w:val="21"/>
              </w:rPr>
              <w:t>2025</w:t>
            </w:r>
          </w:p>
        </w:tc>
        <w:tc>
          <w:tcPr>
            <w:tcW w:w="221"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1</w:t>
            </w:r>
          </w:p>
        </w:tc>
        <w:tc>
          <w:tcPr>
            <w:tcW w:w="368"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冯家川乡</w:t>
            </w:r>
          </w:p>
        </w:tc>
        <w:tc>
          <w:tcPr>
            <w:tcW w:w="441" w:type="pct"/>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冯家川</w:t>
            </w:r>
            <w:r>
              <w:rPr>
                <w:rFonts w:cs="Times New Roman"/>
                <w:sz w:val="21"/>
                <w:szCs w:val="21"/>
              </w:rPr>
              <w:t>村</w:t>
            </w:r>
          </w:p>
        </w:tc>
        <w:tc>
          <w:tcPr>
            <w:tcW w:w="390" w:type="pct"/>
            <w:vAlign w:val="center"/>
          </w:tcPr>
          <w:p>
            <w:pPr>
              <w:spacing w:line="240" w:lineRule="auto"/>
              <w:ind w:firstLine="0" w:firstLineChars="0"/>
              <w:jc w:val="center"/>
              <w:rPr>
                <w:rFonts w:cs="Times New Roman"/>
                <w:sz w:val="21"/>
                <w:szCs w:val="21"/>
              </w:rPr>
            </w:pPr>
            <w:r>
              <w:rPr>
                <w:rFonts w:cs="Times New Roman"/>
                <w:sz w:val="21"/>
                <w:szCs w:val="21"/>
              </w:rPr>
              <w:t>分散治理</w:t>
            </w:r>
          </w:p>
        </w:tc>
        <w:tc>
          <w:tcPr>
            <w:tcW w:w="1224" w:type="pct"/>
            <w:vAlign w:val="center"/>
          </w:tcPr>
          <w:p>
            <w:pPr>
              <w:spacing w:line="240" w:lineRule="auto"/>
              <w:ind w:firstLine="0" w:firstLineChars="0"/>
              <w:jc w:val="center"/>
              <w:rPr>
                <w:rFonts w:cs="Times New Roman"/>
                <w:sz w:val="21"/>
                <w:szCs w:val="21"/>
              </w:rPr>
            </w:pPr>
            <w:r>
              <w:rPr>
                <w:rFonts w:cs="Times New Roman"/>
                <w:kern w:val="0"/>
                <w:sz w:val="21"/>
                <w:szCs w:val="21"/>
              </w:rPr>
              <w:t>小型人工湿地/生物滤池</w:t>
            </w:r>
          </w:p>
        </w:tc>
        <w:tc>
          <w:tcPr>
            <w:tcW w:w="359" w:type="pct"/>
            <w:vAlign w:val="center"/>
          </w:tcPr>
          <w:p>
            <w:pPr>
              <w:spacing w:line="240" w:lineRule="auto"/>
              <w:ind w:firstLine="0" w:firstLineChars="0"/>
              <w:jc w:val="center"/>
              <w:rPr>
                <w:rFonts w:hint="default" w:eastAsia="宋体" w:cs="Times New Roman"/>
                <w:sz w:val="21"/>
                <w:szCs w:val="21"/>
                <w:lang w:val="en-US" w:eastAsia="zh-CN"/>
              </w:rPr>
            </w:pPr>
            <w:r>
              <w:rPr>
                <w:rFonts w:hint="eastAsia" w:cs="Times New Roman"/>
                <w:sz w:val="21"/>
                <w:szCs w:val="21"/>
                <w:lang w:val="en-US" w:eastAsia="zh-CN"/>
              </w:rPr>
              <w:t>0.24</w:t>
            </w:r>
          </w:p>
        </w:tc>
        <w:tc>
          <w:tcPr>
            <w:tcW w:w="295" w:type="pct"/>
            <w:vAlign w:val="center"/>
          </w:tcPr>
          <w:p>
            <w:pPr>
              <w:spacing w:line="240" w:lineRule="auto"/>
              <w:ind w:firstLine="0" w:firstLineChars="0"/>
              <w:jc w:val="center"/>
              <w:rPr>
                <w:rFonts w:hint="eastAsia" w:eastAsia="宋体" w:cs="Times New Roman"/>
                <w:sz w:val="21"/>
                <w:szCs w:val="21"/>
                <w:lang w:val="en-US" w:eastAsia="zh-CN"/>
              </w:rPr>
            </w:pPr>
            <w:r>
              <w:rPr>
                <w:rFonts w:hint="eastAsia" w:cs="Times New Roman"/>
                <w:sz w:val="21"/>
                <w:szCs w:val="21"/>
              </w:rPr>
              <w:t>1</w:t>
            </w:r>
            <w:r>
              <w:rPr>
                <w:rFonts w:hint="eastAsia" w:cs="Times New Roman"/>
                <w:sz w:val="21"/>
                <w:szCs w:val="21"/>
                <w:lang w:val="en-US" w:eastAsia="zh-CN"/>
              </w:rPr>
              <w:t>9</w:t>
            </w:r>
          </w:p>
        </w:tc>
        <w:tc>
          <w:tcPr>
            <w:tcW w:w="295" w:type="pct"/>
            <w:vAlign w:val="center"/>
          </w:tcPr>
          <w:p>
            <w:pPr>
              <w:spacing w:line="240" w:lineRule="auto"/>
              <w:ind w:firstLine="0" w:firstLineChars="0"/>
              <w:jc w:val="center"/>
              <w:rPr>
                <w:rFonts w:hint="default" w:eastAsia="宋体" w:cs="Times New Roman"/>
                <w:sz w:val="21"/>
                <w:szCs w:val="21"/>
                <w:lang w:val="en-US" w:eastAsia="zh-CN"/>
              </w:rPr>
            </w:pPr>
            <w:r>
              <w:rPr>
                <w:rFonts w:hint="eastAsia" w:cs="Times New Roman"/>
                <w:sz w:val="21"/>
                <w:szCs w:val="21"/>
                <w:lang w:val="en-US" w:eastAsia="zh-CN"/>
              </w:rPr>
              <w:t>76</w:t>
            </w:r>
          </w:p>
        </w:tc>
        <w:tc>
          <w:tcPr>
            <w:tcW w:w="315" w:type="pct"/>
            <w:vAlign w:val="center"/>
          </w:tcPr>
          <w:p>
            <w:pPr>
              <w:spacing w:line="240" w:lineRule="auto"/>
              <w:ind w:firstLine="0" w:firstLineChars="0"/>
              <w:jc w:val="center"/>
              <w:rPr>
                <w:rFonts w:hint="eastAsia" w:eastAsia="宋体" w:cs="Times New Roman"/>
                <w:sz w:val="21"/>
                <w:szCs w:val="21"/>
                <w:lang w:val="en-US" w:eastAsia="zh-CN"/>
              </w:rPr>
            </w:pPr>
            <w:r>
              <w:rPr>
                <w:rFonts w:hint="eastAsia" w:cs="Times New Roman"/>
                <w:sz w:val="21"/>
                <w:szCs w:val="21"/>
                <w:lang w:val="en-US" w:eastAsia="zh-CN"/>
              </w:rPr>
              <w:t>-</w:t>
            </w:r>
          </w:p>
        </w:tc>
        <w:tc>
          <w:tcPr>
            <w:tcW w:w="313" w:type="pct"/>
            <w:vAlign w:val="center"/>
          </w:tcPr>
          <w:p>
            <w:pPr>
              <w:spacing w:line="240" w:lineRule="auto"/>
              <w:ind w:firstLine="0" w:firstLineChars="0"/>
              <w:jc w:val="center"/>
              <w:rPr>
                <w:rFonts w:hint="eastAsia" w:eastAsia="宋体" w:cs="Times New Roman"/>
                <w:sz w:val="21"/>
                <w:szCs w:val="21"/>
                <w:lang w:val="en-US" w:eastAsia="zh-CN"/>
              </w:rPr>
            </w:pPr>
            <w:r>
              <w:rPr>
                <w:rFonts w:hint="eastAsia" w:cs="Times New Roman"/>
                <w:sz w:val="21"/>
                <w:szCs w:val="21"/>
                <w:lang w:val="en-US" w:eastAsia="zh-CN"/>
              </w:rPr>
              <w:t>-</w:t>
            </w:r>
          </w:p>
        </w:tc>
        <w:tc>
          <w:tcPr>
            <w:tcW w:w="551" w:type="pct"/>
            <w:vMerge w:val="restart"/>
            <w:vAlign w:val="center"/>
          </w:tcPr>
          <w:p>
            <w:pPr>
              <w:spacing w:line="240" w:lineRule="auto"/>
              <w:ind w:firstLine="0" w:firstLineChars="0"/>
              <w:jc w:val="center"/>
              <w:rPr>
                <w:rFonts w:hint="default" w:eastAsia="宋体" w:cs="Times New Roman"/>
                <w:sz w:val="21"/>
                <w:szCs w:val="21"/>
                <w:lang w:val="en-US" w:eastAsia="zh-CN"/>
              </w:rPr>
            </w:pPr>
            <w:r>
              <w:rPr>
                <w:rFonts w:hint="eastAsia" w:cs="Times New Roman"/>
                <w:sz w:val="21"/>
                <w:szCs w:val="21"/>
                <w:lang w:val="en-US" w:eastAsia="zh-CN"/>
              </w:rPr>
              <w:t>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221" w:type="pct"/>
            <w:vMerge w:val="continue"/>
            <w:vAlign w:val="center"/>
          </w:tcPr>
          <w:p>
            <w:pPr>
              <w:spacing w:line="240" w:lineRule="auto"/>
              <w:ind w:firstLine="0" w:firstLineChars="0"/>
              <w:jc w:val="center"/>
              <w:rPr>
                <w:rFonts w:cs="Times New Roman"/>
                <w:sz w:val="21"/>
                <w:szCs w:val="21"/>
              </w:rPr>
            </w:pPr>
          </w:p>
        </w:tc>
        <w:tc>
          <w:tcPr>
            <w:tcW w:w="221" w:type="pct"/>
            <w:shd w:val="clear" w:color="auto" w:fill="auto"/>
            <w:noWrap/>
            <w:vAlign w:val="center"/>
          </w:tcPr>
          <w:p>
            <w:pPr>
              <w:spacing w:line="240" w:lineRule="auto"/>
              <w:ind w:firstLine="0" w:firstLineChars="0"/>
              <w:jc w:val="center"/>
              <w:rPr>
                <w:rFonts w:cs="Times New Roman"/>
                <w:sz w:val="21"/>
                <w:szCs w:val="21"/>
              </w:rPr>
            </w:pPr>
            <w:r>
              <w:rPr>
                <w:rFonts w:cs="Times New Roman"/>
                <w:sz w:val="21"/>
                <w:szCs w:val="21"/>
              </w:rPr>
              <w:t>2</w:t>
            </w:r>
          </w:p>
        </w:tc>
        <w:tc>
          <w:tcPr>
            <w:tcW w:w="368" w:type="pct"/>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冯家川</w:t>
            </w:r>
            <w:r>
              <w:rPr>
                <w:rFonts w:cs="Times New Roman"/>
                <w:sz w:val="21"/>
                <w:szCs w:val="21"/>
              </w:rPr>
              <w:t>乡</w:t>
            </w:r>
          </w:p>
        </w:tc>
        <w:tc>
          <w:tcPr>
            <w:tcW w:w="441" w:type="pct"/>
            <w:shd w:val="clear" w:color="auto" w:fill="auto"/>
            <w:noWrap/>
            <w:vAlign w:val="center"/>
          </w:tcPr>
          <w:p>
            <w:pPr>
              <w:spacing w:line="240" w:lineRule="auto"/>
              <w:ind w:firstLine="0" w:firstLineChars="0"/>
              <w:jc w:val="center"/>
              <w:rPr>
                <w:rFonts w:cs="Times New Roman"/>
                <w:sz w:val="21"/>
                <w:szCs w:val="21"/>
              </w:rPr>
            </w:pPr>
            <w:r>
              <w:rPr>
                <w:rFonts w:hint="eastAsia" w:cs="Times New Roman"/>
                <w:sz w:val="21"/>
                <w:szCs w:val="21"/>
              </w:rPr>
              <w:t>神山村</w:t>
            </w:r>
          </w:p>
        </w:tc>
        <w:tc>
          <w:tcPr>
            <w:tcW w:w="390" w:type="pct"/>
            <w:vAlign w:val="center"/>
          </w:tcPr>
          <w:p>
            <w:pPr>
              <w:spacing w:line="240" w:lineRule="auto"/>
              <w:ind w:firstLine="0" w:firstLineChars="0"/>
              <w:jc w:val="center"/>
              <w:rPr>
                <w:rFonts w:cs="Times New Roman"/>
                <w:sz w:val="21"/>
                <w:szCs w:val="21"/>
              </w:rPr>
            </w:pPr>
            <w:r>
              <w:rPr>
                <w:rFonts w:cs="Times New Roman"/>
                <w:sz w:val="21"/>
                <w:szCs w:val="21"/>
              </w:rPr>
              <w:t>分散治理</w:t>
            </w:r>
          </w:p>
        </w:tc>
        <w:tc>
          <w:tcPr>
            <w:tcW w:w="1224" w:type="pct"/>
            <w:vAlign w:val="center"/>
          </w:tcPr>
          <w:p>
            <w:pPr>
              <w:spacing w:line="240" w:lineRule="auto"/>
              <w:ind w:firstLine="48" w:firstLineChars="23"/>
              <w:jc w:val="center"/>
              <w:rPr>
                <w:rFonts w:cs="Times New Roman"/>
                <w:sz w:val="21"/>
                <w:szCs w:val="21"/>
              </w:rPr>
            </w:pPr>
            <w:r>
              <w:rPr>
                <w:rFonts w:cs="Times New Roman"/>
                <w:kern w:val="0"/>
                <w:sz w:val="21"/>
                <w:szCs w:val="21"/>
              </w:rPr>
              <w:t>小型人工湿地/生物滤池</w:t>
            </w:r>
          </w:p>
        </w:tc>
        <w:tc>
          <w:tcPr>
            <w:tcW w:w="359" w:type="pct"/>
            <w:vAlign w:val="center"/>
          </w:tcPr>
          <w:p>
            <w:pPr>
              <w:spacing w:line="240" w:lineRule="auto"/>
              <w:ind w:firstLine="0" w:firstLineChars="0"/>
              <w:jc w:val="center"/>
              <w:rPr>
                <w:rFonts w:hint="default" w:eastAsia="宋体" w:cs="Times New Roman"/>
                <w:sz w:val="21"/>
                <w:szCs w:val="21"/>
                <w:lang w:val="en-US" w:eastAsia="zh-CN"/>
              </w:rPr>
            </w:pPr>
            <w:r>
              <w:rPr>
                <w:rFonts w:hint="eastAsia" w:cs="Times New Roman"/>
                <w:sz w:val="21"/>
                <w:szCs w:val="21"/>
                <w:lang w:val="en-US" w:eastAsia="zh-CN"/>
              </w:rPr>
              <w:t>0.456</w:t>
            </w:r>
          </w:p>
        </w:tc>
        <w:tc>
          <w:tcPr>
            <w:tcW w:w="295" w:type="pct"/>
            <w:vAlign w:val="center"/>
          </w:tcPr>
          <w:p>
            <w:pPr>
              <w:spacing w:line="240" w:lineRule="auto"/>
              <w:ind w:firstLine="0" w:firstLineChars="0"/>
              <w:jc w:val="center"/>
              <w:rPr>
                <w:rFonts w:hint="default" w:eastAsia="宋体" w:cs="Times New Roman"/>
                <w:sz w:val="21"/>
                <w:szCs w:val="21"/>
                <w:lang w:val="en-US" w:eastAsia="zh-CN"/>
              </w:rPr>
            </w:pPr>
            <w:r>
              <w:rPr>
                <w:rFonts w:hint="eastAsia" w:cs="Times New Roman"/>
                <w:sz w:val="21"/>
                <w:szCs w:val="21"/>
                <w:lang w:val="en-US" w:eastAsia="zh-CN"/>
              </w:rPr>
              <w:t>20</w:t>
            </w:r>
          </w:p>
        </w:tc>
        <w:tc>
          <w:tcPr>
            <w:tcW w:w="295" w:type="pct"/>
            <w:vAlign w:val="center"/>
          </w:tcPr>
          <w:p>
            <w:pPr>
              <w:spacing w:line="240" w:lineRule="auto"/>
              <w:ind w:firstLine="0" w:firstLineChars="0"/>
              <w:jc w:val="center"/>
              <w:rPr>
                <w:rFonts w:hint="default" w:eastAsia="宋体" w:cs="Times New Roman"/>
                <w:sz w:val="21"/>
                <w:szCs w:val="21"/>
                <w:lang w:val="en-US" w:eastAsia="zh-CN"/>
              </w:rPr>
            </w:pPr>
            <w:r>
              <w:rPr>
                <w:rFonts w:hint="eastAsia" w:cs="Times New Roman"/>
                <w:sz w:val="21"/>
                <w:szCs w:val="21"/>
                <w:lang w:val="en-US" w:eastAsia="zh-CN"/>
              </w:rPr>
              <w:t>80</w:t>
            </w:r>
          </w:p>
        </w:tc>
        <w:tc>
          <w:tcPr>
            <w:tcW w:w="315" w:type="pct"/>
            <w:vAlign w:val="center"/>
          </w:tcPr>
          <w:p>
            <w:pPr>
              <w:spacing w:line="240" w:lineRule="auto"/>
              <w:ind w:firstLine="0" w:firstLineChars="0"/>
              <w:jc w:val="center"/>
              <w:rPr>
                <w:rFonts w:hint="eastAsia" w:eastAsia="宋体" w:cs="Times New Roman"/>
                <w:sz w:val="21"/>
                <w:szCs w:val="21"/>
                <w:lang w:val="en-US" w:eastAsia="zh-CN"/>
              </w:rPr>
            </w:pPr>
            <w:r>
              <w:rPr>
                <w:rFonts w:hint="eastAsia" w:cs="Times New Roman"/>
                <w:sz w:val="21"/>
                <w:szCs w:val="21"/>
                <w:lang w:val="en-US" w:eastAsia="zh-CN"/>
              </w:rPr>
              <w:t>-</w:t>
            </w:r>
          </w:p>
        </w:tc>
        <w:tc>
          <w:tcPr>
            <w:tcW w:w="313" w:type="pct"/>
            <w:vAlign w:val="center"/>
          </w:tcPr>
          <w:p>
            <w:pPr>
              <w:spacing w:line="240" w:lineRule="auto"/>
              <w:ind w:firstLine="0" w:firstLineChars="0"/>
              <w:jc w:val="center"/>
              <w:rPr>
                <w:rFonts w:hint="eastAsia" w:eastAsia="宋体" w:cs="Times New Roman"/>
                <w:sz w:val="21"/>
                <w:szCs w:val="21"/>
                <w:lang w:val="en-US" w:eastAsia="zh-CN"/>
              </w:rPr>
            </w:pPr>
            <w:r>
              <w:rPr>
                <w:rFonts w:hint="eastAsia" w:cs="Times New Roman"/>
                <w:sz w:val="21"/>
                <w:szCs w:val="21"/>
                <w:lang w:val="en-US" w:eastAsia="zh-CN"/>
              </w:rPr>
              <w:t>-</w:t>
            </w:r>
          </w:p>
        </w:tc>
        <w:tc>
          <w:tcPr>
            <w:tcW w:w="551" w:type="pct"/>
            <w:vMerge w:val="continue"/>
            <w:vAlign w:val="center"/>
          </w:tcPr>
          <w:p>
            <w:pPr>
              <w:spacing w:line="240" w:lineRule="auto"/>
              <w:ind w:firstLine="0" w:firstLineChars="0"/>
              <w:jc w:val="center"/>
              <w:rPr>
                <w:rFonts w:cs="Times New Roman"/>
                <w:sz w:val="21"/>
                <w:szCs w:val="21"/>
              </w:rPr>
            </w:pPr>
          </w:p>
        </w:tc>
      </w:tr>
    </w:tbl>
    <w:p>
      <w:pPr>
        <w:tabs>
          <w:tab w:val="left" w:pos="10982"/>
        </w:tabs>
        <w:ind w:firstLine="480"/>
        <w:rPr>
          <w:rFonts w:cs="Times New Roman"/>
        </w:rPr>
      </w:pPr>
    </w:p>
    <w:p>
      <w:pPr>
        <w:tabs>
          <w:tab w:val="left" w:pos="10982"/>
        </w:tabs>
        <w:ind w:firstLine="480"/>
        <w:rPr>
          <w:rFonts w:cs="Times New Roman"/>
        </w:rPr>
        <w:sectPr>
          <w:pgSz w:w="16838" w:h="11906" w:orient="landscape"/>
          <w:pgMar w:top="1531" w:right="1361" w:bottom="1531" w:left="1361" w:header="851" w:footer="992" w:gutter="0"/>
          <w:cols w:space="425" w:num="1"/>
          <w:docGrid w:type="lines" w:linePitch="326" w:charSpace="0"/>
        </w:sectPr>
      </w:pPr>
      <w:r>
        <w:rPr>
          <w:rFonts w:cs="Times New Roman"/>
        </w:rPr>
        <w:tab/>
      </w:r>
    </w:p>
    <w:p>
      <w:pPr>
        <w:pStyle w:val="7"/>
        <w:rPr>
          <w:rFonts w:ascii="Times New Roman" w:hAnsi="Times New Roman" w:cs="Times New Roman"/>
        </w:rPr>
      </w:pPr>
      <w:bookmarkStart w:id="56" w:name="_Toc43848828"/>
      <w:r>
        <w:rPr>
          <w:rFonts w:ascii="Times New Roman" w:hAnsi="Times New Roman" w:cs="Times New Roman"/>
        </w:rPr>
        <w:t>8.2 资金筹措</w:t>
      </w:r>
      <w:bookmarkEnd w:id="56"/>
    </w:p>
    <w:p>
      <w:pPr>
        <w:ind w:firstLine="480"/>
        <w:rPr>
          <w:rFonts w:cs="Times New Roman"/>
        </w:rPr>
      </w:pPr>
      <w:r>
        <w:rPr>
          <w:rFonts w:cs="Times New Roman"/>
        </w:rPr>
        <w:t>费用主要包括污水处理设施建设费用和运行维护费用。污水处理设施的建设费用相对较多，主要来自省级资金和地方政府配套资金。对于污水集中处理的村庄，需要一定的运行维护的费用，资金应以县级和乡镇政府来源为主；对于污水分散处理的村庄，污水处理设施的运行和维护资金开支相对较少，可由乡镇政府及村集体承担。</w:t>
      </w:r>
    </w:p>
    <w:p>
      <w:pPr>
        <w:ind w:firstLine="480"/>
        <w:rPr>
          <w:rFonts w:cs="Times New Roman"/>
        </w:rPr>
      </w:pPr>
      <w:r>
        <w:rPr>
          <w:rFonts w:cs="Times New Roman"/>
        </w:rPr>
        <w:t>（1）省级环境保护专项资金</w:t>
      </w:r>
    </w:p>
    <w:p>
      <w:pPr>
        <w:ind w:firstLine="480"/>
        <w:rPr>
          <w:rFonts w:cs="Times New Roman"/>
        </w:rPr>
      </w:pPr>
      <w:r>
        <w:rPr>
          <w:rFonts w:cs="Times New Roman"/>
        </w:rPr>
        <w:t>省级环保专项资金用于补助集中式饮用水源地保护、重点行业污染源治理、区域流域环境污染综合治理、污染防治新技术新工艺推广应用和农村环境保护等，因此政府应将农村生活污水治理经费纳入年度财政预算中，申请省级环保专项资金用于农村生活污水治理工作，并积极申请省、市相关经费补助。</w:t>
      </w:r>
    </w:p>
    <w:p>
      <w:pPr>
        <w:ind w:firstLine="480"/>
        <w:rPr>
          <w:rFonts w:cs="Times New Roman"/>
        </w:rPr>
      </w:pPr>
      <w:r>
        <w:rPr>
          <w:rFonts w:cs="Times New Roman"/>
        </w:rPr>
        <w:t>（2）地方政府配套资金</w:t>
      </w:r>
    </w:p>
    <w:p>
      <w:pPr>
        <w:ind w:firstLine="480"/>
        <w:rPr>
          <w:rFonts w:cs="Times New Roman"/>
        </w:rPr>
      </w:pPr>
      <w:r>
        <w:rPr>
          <w:rFonts w:cs="Times New Roman"/>
        </w:rPr>
        <w:t>在省财政的支持下，市、县人民政府提供配套资金，保障农村环境整治工作的顺利实施。可鼓励引导和支持企业、社会团体、个人等社会力量，通过投资、捐助、认建等形式，参与农村生活污水治理设施建设与改造。</w:t>
      </w:r>
    </w:p>
    <w:p>
      <w:pPr>
        <w:pStyle w:val="5"/>
      </w:pPr>
      <w:bookmarkStart w:id="57" w:name="_Toc43848829"/>
      <w:r>
        <w:t>9 效益分析</w:t>
      </w:r>
      <w:bookmarkEnd w:id="57"/>
    </w:p>
    <w:p>
      <w:pPr>
        <w:pStyle w:val="7"/>
        <w:rPr>
          <w:rFonts w:ascii="Times New Roman" w:hAnsi="Times New Roman" w:cs="Times New Roman"/>
        </w:rPr>
      </w:pPr>
      <w:bookmarkStart w:id="58" w:name="_Toc43848830"/>
      <w:r>
        <w:rPr>
          <w:rFonts w:ascii="Times New Roman" w:hAnsi="Times New Roman" w:cs="Times New Roman"/>
        </w:rPr>
        <w:t>9.1 环境效益</w:t>
      </w:r>
      <w:bookmarkEnd w:id="58"/>
    </w:p>
    <w:p>
      <w:pPr>
        <w:ind w:firstLine="480"/>
        <w:rPr>
          <w:rFonts w:cs="Times New Roman"/>
        </w:rPr>
      </w:pPr>
      <w:r>
        <w:rPr>
          <w:rFonts w:cs="Times New Roman"/>
        </w:rPr>
        <w:t>通过规划的逐步实施，将在规划范围内构建科学合理的污水处理体系，实现污水收集及处理设施的合理布局与建设；通过污水管网的合理布局、规范化建设与管理，在满足处理污水量的同时全方位改进和提高保德县水环境质量。</w:t>
      </w:r>
    </w:p>
    <w:p>
      <w:pPr>
        <w:ind w:firstLine="480"/>
        <w:rPr>
          <w:rFonts w:cs="Times New Roman"/>
        </w:rPr>
      </w:pPr>
      <w:r>
        <w:rPr>
          <w:rFonts w:cs="Times New Roman"/>
        </w:rPr>
        <w:t>根据调查数据，规划实施后受益人口共计16102人，可处理污水总量为493.336  m</w:t>
      </w:r>
      <w:r>
        <w:rPr>
          <w:rFonts w:cs="Times New Roman"/>
          <w:vertAlign w:val="superscript"/>
        </w:rPr>
        <w:t>3</w:t>
      </w:r>
      <w:r>
        <w:rPr>
          <w:rFonts w:cs="Times New Roman"/>
        </w:rPr>
        <w:t>/d。若农村地区生活污水全部收集有效处理，按照COD进水浓度350 mg/L，氨氮进水浓度40 mg/L计，COD出水浓度按《农田灌溉水质标准》（GB 5084-2005）旱作灌溉水质要求计算，即排放浓度200 mg/L，氨氮出水浓度按《农村生活污水处理设施水污染物排放标准》（DB 14/726-2019）二级标准计算，即排放浓度8 mg/L，则规划实施后，COD可减排</w:t>
      </w:r>
      <w:r>
        <w:rPr>
          <w:rFonts w:hint="eastAsia" w:cs="Times New Roman"/>
          <w:lang w:val="en-US" w:eastAsia="zh-CN"/>
        </w:rPr>
        <w:t>26640</w:t>
      </w:r>
      <w:r>
        <w:rPr>
          <w:rFonts w:cs="Times New Roman"/>
        </w:rPr>
        <w:t xml:space="preserve"> kg/</w:t>
      </w:r>
      <w:r>
        <w:rPr>
          <w:rFonts w:hint="eastAsia" w:cs="Times New Roman"/>
          <w:lang w:eastAsia="zh-CN"/>
        </w:rPr>
        <w:t>年</w:t>
      </w:r>
      <w:r>
        <w:rPr>
          <w:rFonts w:cs="Times New Roman"/>
        </w:rPr>
        <w:t>，氨氮可减排</w:t>
      </w:r>
      <w:r>
        <w:rPr>
          <w:rFonts w:hint="eastAsia" w:cs="Times New Roman"/>
          <w:lang w:val="en-US" w:eastAsia="zh-CN"/>
        </w:rPr>
        <w:t>5684.4</w:t>
      </w:r>
      <w:r>
        <w:rPr>
          <w:rFonts w:cs="Times New Roman"/>
        </w:rPr>
        <w:t>kg/</w:t>
      </w:r>
      <w:r>
        <w:rPr>
          <w:rFonts w:hint="eastAsia" w:cs="Times New Roman"/>
          <w:lang w:eastAsia="zh-CN"/>
        </w:rPr>
        <w:t>年</w:t>
      </w:r>
      <w:r>
        <w:rPr>
          <w:rFonts w:cs="Times New Roman"/>
        </w:rPr>
        <w:t>。</w:t>
      </w:r>
    </w:p>
    <w:p>
      <w:pPr>
        <w:pStyle w:val="7"/>
        <w:rPr>
          <w:rFonts w:ascii="Times New Roman" w:hAnsi="Times New Roman" w:cs="Times New Roman"/>
        </w:rPr>
      </w:pPr>
      <w:bookmarkStart w:id="59" w:name="_Toc43848831"/>
      <w:r>
        <w:rPr>
          <w:rFonts w:ascii="Times New Roman" w:hAnsi="Times New Roman" w:cs="Times New Roman"/>
        </w:rPr>
        <w:t>9.2 社会效益</w:t>
      </w:r>
      <w:bookmarkEnd w:id="59"/>
    </w:p>
    <w:p>
      <w:pPr>
        <w:ind w:firstLine="480"/>
        <w:rPr>
          <w:rFonts w:cs="Times New Roman"/>
        </w:rPr>
      </w:pPr>
      <w:r>
        <w:rPr>
          <w:rFonts w:cs="Times New Roman"/>
        </w:rPr>
        <w:t>农村生活污水收集、处理与资源化设施建设，避免因生活污水直接排放而引起农村水体、土壤和农产品污染，确保农村水源的安全和农民身心健康，这是当前新农村建设中加强基础设施建设、推进村庄整治工作的重要内容，也是农村人居环境改善需要解决的迫切问题，更是实施乡村振兴战略的重要举措。</w:t>
      </w:r>
    </w:p>
    <w:p>
      <w:pPr>
        <w:pStyle w:val="7"/>
        <w:rPr>
          <w:rFonts w:ascii="Times New Roman" w:hAnsi="Times New Roman" w:cs="Times New Roman"/>
        </w:rPr>
      </w:pPr>
      <w:bookmarkStart w:id="60" w:name="_Toc43848832"/>
      <w:r>
        <w:rPr>
          <w:rFonts w:ascii="Times New Roman" w:hAnsi="Times New Roman" w:cs="Times New Roman"/>
        </w:rPr>
        <w:t>9.3 经济效益</w:t>
      </w:r>
      <w:bookmarkEnd w:id="60"/>
    </w:p>
    <w:p>
      <w:pPr>
        <w:ind w:firstLine="480"/>
        <w:rPr>
          <w:rFonts w:cs="Times New Roman"/>
        </w:rPr>
      </w:pPr>
      <w:r>
        <w:rPr>
          <w:rFonts w:cs="Times New Roman"/>
        </w:rPr>
        <w:t>生活污水的妥善处置，是保证经济建设、工农业生产正常运行，保障人民健康的必要条件之一。同时，可减少因污染而造成农村居民健康水平下降引起的各种费用。</w:t>
      </w:r>
    </w:p>
    <w:p>
      <w:pPr>
        <w:pStyle w:val="5"/>
      </w:pPr>
      <w:bookmarkStart w:id="61" w:name="_Toc43848833"/>
      <w:r>
        <w:t>10 保障措施</w:t>
      </w:r>
      <w:bookmarkEnd w:id="61"/>
    </w:p>
    <w:p>
      <w:pPr>
        <w:ind w:firstLine="480"/>
        <w:rPr>
          <w:rFonts w:cs="Times New Roman"/>
        </w:rPr>
      </w:pPr>
      <w:r>
        <w:rPr>
          <w:rFonts w:cs="Times New Roman"/>
        </w:rPr>
        <w:t>农村生活污水治理是一项涉及面广、工作量大的系统工程，也是一项社会效益和生态效益十分显著地民生工程，更需要采取各种有效措施以保障农村生活污水治理工作顺利实施。</w:t>
      </w:r>
    </w:p>
    <w:p>
      <w:pPr>
        <w:ind w:firstLine="480"/>
        <w:rPr>
          <w:rFonts w:cs="Times New Roman"/>
        </w:rPr>
      </w:pPr>
      <w:r>
        <w:rPr>
          <w:rFonts w:cs="Times New Roman"/>
        </w:rPr>
        <w:t>（1）加强组织领导</w:t>
      </w:r>
    </w:p>
    <w:p>
      <w:pPr>
        <w:ind w:firstLine="480"/>
        <w:rPr>
          <w:rFonts w:cs="Times New Roman"/>
        </w:rPr>
      </w:pPr>
      <w:r>
        <w:rPr>
          <w:rFonts w:cs="Times New Roman"/>
        </w:rPr>
        <w:t>县政府是本辖区农村污水治理的工作主体和责任主体，应建立长效机制，加大资金投入，统筹农村污水处理设施建设，强化监管，确保各项任务全面完成。各相关部门和乡镇要切实加强农村生活污水治理工作领导，明确目标任务，细化工作计划，落实工作责任，确保组织计划到位、责任落实到位、任务完成到位、农村生活污水治理工作落地见效。</w:t>
      </w:r>
    </w:p>
    <w:p>
      <w:pPr>
        <w:ind w:firstLine="480"/>
        <w:rPr>
          <w:rFonts w:cs="Times New Roman"/>
        </w:rPr>
      </w:pPr>
      <w:r>
        <w:rPr>
          <w:rFonts w:cs="Times New Roman"/>
        </w:rPr>
        <w:t>（2）多方筹措、保障经费</w:t>
      </w:r>
    </w:p>
    <w:p>
      <w:pPr>
        <w:ind w:firstLine="480"/>
        <w:rPr>
          <w:rFonts w:cs="Times New Roman"/>
        </w:rPr>
      </w:pPr>
      <w:r>
        <w:rPr>
          <w:rFonts w:cs="Times New Roman"/>
        </w:rPr>
        <w:t>农村生活污水治理需要一定规模的资金投入，单靠农民自身投入具有一定的困难。要充分调动各方面积极性，采取国家扶持、地方补助和企业参与的方式，多渠道、多形式、多领域融资，形成多元化投入、多渠道动员的参与机制。设立农村生活污水治理专项经费，并纳入政府财政预算统筹安排，专款专用，严禁挪作他用，保障污水治理工作顺利付诸实施和运转。</w:t>
      </w:r>
    </w:p>
    <w:p>
      <w:pPr>
        <w:ind w:firstLine="480"/>
        <w:rPr>
          <w:rFonts w:cs="Times New Roman"/>
        </w:rPr>
      </w:pPr>
      <w:r>
        <w:rPr>
          <w:rFonts w:cs="Times New Roman"/>
        </w:rPr>
        <w:t>（3）建管并重、长效运行</w:t>
      </w:r>
    </w:p>
    <w:p>
      <w:pPr>
        <w:ind w:firstLine="480"/>
        <w:rPr>
          <w:rFonts w:cs="Times New Roman"/>
        </w:rPr>
      </w:pPr>
      <w:r>
        <w:rPr>
          <w:rFonts w:cs="Times New Roman"/>
        </w:rPr>
        <w:t>确保农村生活污水处理设施和管网实行统一建设、统一运行、统一管理，提高运维的专业化水平，加强对设施和管道的检查和维护，确保治理长效。</w:t>
      </w:r>
    </w:p>
    <w:p>
      <w:pPr>
        <w:ind w:firstLine="480"/>
        <w:rPr>
          <w:rFonts w:cs="Times New Roman"/>
        </w:rPr>
      </w:pPr>
      <w:r>
        <w:rPr>
          <w:rFonts w:cs="Times New Roman"/>
        </w:rPr>
        <w:t>（4）加强政策保障</w:t>
      </w:r>
    </w:p>
    <w:p>
      <w:pPr>
        <w:ind w:firstLine="480"/>
        <w:rPr>
          <w:rFonts w:cs="Times New Roman"/>
        </w:rPr>
      </w:pPr>
      <w:r>
        <w:rPr>
          <w:rFonts w:cs="Times New Roman"/>
        </w:rPr>
        <w:t>严格依照规划安排项目，进一步推行和完善项目公示制、工程招投标制、工程监理制和县级报账制等管理制度，并适当简化程序。综合污水防治实施方案、资金来源及用工情况等要向村民公开。督促配套资金落实，加强资金管理，确保项目资金足额用于项目建设。对政府补助资金、群众投工投劳的情况不仅要接受审计，而且要向社会公示，接受群众监督。</w:t>
      </w:r>
    </w:p>
    <w:p>
      <w:pPr>
        <w:ind w:firstLine="480"/>
        <w:rPr>
          <w:rFonts w:cs="Times New Roman"/>
        </w:rPr>
      </w:pPr>
      <w:r>
        <w:rPr>
          <w:rFonts w:cs="Times New Roman"/>
        </w:rPr>
        <w:t>（5）强化施工运行保障</w:t>
      </w:r>
    </w:p>
    <w:p>
      <w:pPr>
        <w:ind w:firstLine="480"/>
        <w:rPr>
          <w:rFonts w:cs="Times New Roman"/>
        </w:rPr>
      </w:pPr>
      <w:r>
        <w:rPr>
          <w:rFonts w:cs="Times New Roman"/>
        </w:rPr>
        <w:t>方案按照设计或计划工期实施，在施工期间，由县级主管部门、工程监理单位对项目工期、进度定期进行监督检查。同时在项目实施中，征求、采纳有关部门的合理化建议，并与驻地土地、水利、林业、建设等单位联系，求得他们的积极支持和密切配合，确保农村生活污水防治的各项工程按期完成。</w:t>
      </w:r>
    </w:p>
    <w:p>
      <w:pPr>
        <w:ind w:firstLine="480"/>
        <w:rPr>
          <w:rFonts w:cs="Times New Roman"/>
        </w:rPr>
      </w:pPr>
      <w:r>
        <w:rPr>
          <w:rFonts w:cs="Times New Roman"/>
        </w:rPr>
        <w:t>（6）加强宣传、科学引导</w:t>
      </w:r>
    </w:p>
    <w:p>
      <w:pPr>
        <w:ind w:firstLine="0" w:firstLineChars="0"/>
        <w:jc w:val="both"/>
        <w:rPr>
          <w:rFonts w:eastAsia="黑体" w:cs="Times New Roman"/>
          <w:sz w:val="21"/>
        </w:rPr>
      </w:pPr>
      <w:r>
        <w:rPr>
          <w:rFonts w:cs="Times New Roman"/>
        </w:rPr>
        <w:t>充分利用新闻媒体和宣传工具，采取多种形式，广泛宣传生活污水冶理工作的重要性、紧迫性，增强环保意识和治污意识，争取干部群众的支持与配合，切实提高干部群众对开展生活污水治理工作的主动性、积极性，形成全社会开展生活污水治理的良好氛围，引导广大人民群众积极参与和监督污水治理工作。</w:t>
      </w:r>
    </w:p>
    <w:sectPr>
      <w:headerReference r:id="rId8" w:type="default"/>
      <w:pgSz w:w="11906" w:h="16838"/>
      <w:pgMar w:top="1587" w:right="1417" w:bottom="1587" w:left="1417" w:header="283" w:footer="567" w:gutter="0"/>
      <w:cols w:space="425" w:num="1"/>
      <w:docGrid w:type="lines" w:linePitch="326" w:charSpace="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微软雅黑">
    <w:panose1 w:val="020B0503020204020204"/>
    <w:charset w:val="86"/>
    <w:family w:val="swiss"/>
    <w:pitch w:val="default"/>
    <w:sig w:usb0="80000287" w:usb1="280F3C52" w:usb2="00000016" w:usb3="00000000" w:csb0="0004001F" w:csb1="00000000"/>
  </w:font>
  <w:font w:name="ArialMT">
    <w:altName w:val="Times New Roman"/>
    <w:panose1 w:val="00000000000000000000"/>
    <w:charset w:val="00"/>
    <w:family w:val="roman"/>
    <w:pitch w:val="default"/>
    <w:sig w:usb0="00000000" w:usb1="00000000" w:usb2="00000000" w:usb3="00000000" w:csb0="00000000" w:csb1="00000000"/>
  </w:font>
  <w:font w:name="等线">
    <w:altName w:val="微软雅黑"/>
    <w:panose1 w:val="02010600030101010101"/>
    <w:charset w:val="86"/>
    <w:family w:val="auto"/>
    <w:pitch w:val="default"/>
    <w:sig w:usb0="00000000" w:usb1="00000000" w:usb2="00000016" w:usb3="00000000" w:csb0="0004000F" w:csb1="00000000"/>
  </w:font>
  <w:font w:name="等线 Light">
    <w:altName w:val="宋体"/>
    <w:panose1 w:val="02010600030101010101"/>
    <w:charset w:val="86"/>
    <w:family w:val="auto"/>
    <w:pitch w:val="default"/>
    <w:sig w:usb0="00000000" w:usb1="00000000" w:usb2="00000016" w:usb3="00000000" w:csb0="0004000F" w:csb1="00000000"/>
  </w:font>
  <w:font w:name="方正小标宋简体">
    <w:panose1 w:val="02010601030101010101"/>
    <w:charset w:val="86"/>
    <w:family w:val="auto"/>
    <w:pitch w:val="default"/>
    <w:sig w:usb0="00000001" w:usb1="080E0000" w:usb2="0000000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等线">
    <w:altName w:val="Arial Unicode MS"/>
    <w:panose1 w:val="00000000000000000000"/>
    <w:charset w:val="00"/>
    <w:family w:val="auto"/>
    <w:pitch w:val="default"/>
    <w:sig w:usb0="00000000" w:usb1="00000000" w:usb2="00000000" w:usb3="00000000" w:csb0="00000000"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84015539"/>
    </w:sdtPr>
    <w:sdtContent>
      <w:p>
        <w:pPr>
          <w:pStyle w:val="23"/>
          <w:ind w:firstLine="360"/>
          <w:jc w:val="center"/>
        </w:pPr>
        <w:r>
          <w:fldChar w:fldCharType="begin"/>
        </w:r>
        <w:r>
          <w:instrText xml:space="preserve">PAGE   \* MERGEFORMAT</w:instrText>
        </w:r>
        <w:r>
          <w:fldChar w:fldCharType="separate"/>
        </w:r>
        <w:r>
          <w:rPr>
            <w:lang w:val="zh-CN"/>
          </w:rPr>
          <w:t>II</w:t>
        </w:r>
        <w:r>
          <w:rPr>
            <w:lang w:val="zh-CN"/>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33442070"/>
    </w:sdtPr>
    <w:sdtContent>
      <w:p>
        <w:pPr>
          <w:pStyle w:val="23"/>
          <w:ind w:firstLine="360"/>
          <w:jc w:val="center"/>
        </w:pPr>
        <w:r>
          <w:fldChar w:fldCharType="begin"/>
        </w:r>
        <w:r>
          <w:instrText xml:space="preserve">PAGE   \* MERGEFORMAT</w:instrText>
        </w:r>
        <w:r>
          <w:fldChar w:fldCharType="separate"/>
        </w:r>
        <w:r>
          <w:rPr>
            <w:lang w:val="zh-CN"/>
          </w:rPr>
          <w:t>1</w:t>
        </w:r>
        <w:r>
          <w:rPr>
            <w:lang w:val="zh-CN"/>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80" w:firstLine="0" w:firstLineChars="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80" w:firstLine="0" w:firstLineChars="0"/>
      <w:jc w:val="center"/>
      <w:rPr>
        <w:color w:val="000000" w:themeColor="text1"/>
        <w:sz w:val="36"/>
        <w:szCs w:val="36"/>
        <w14:textFill>
          <w14:solidFill>
            <w14:schemeClr w14:val="tx1"/>
          </w14:solidFill>
        </w14:textFill>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A96E58"/>
    <w:multiLevelType w:val="singleLevel"/>
    <w:tmpl w:val="83A96E58"/>
    <w:lvl w:ilvl="0" w:tentative="0">
      <w:start w:val="1"/>
      <w:numFmt w:val="decimal"/>
      <w:suff w:val="nothing"/>
      <w:lvlText w:val="（%1）"/>
      <w:lvlJc w:val="left"/>
    </w:lvl>
  </w:abstractNum>
  <w:abstractNum w:abstractNumId="1">
    <w:nsid w:val="1F890D1C"/>
    <w:multiLevelType w:val="multilevel"/>
    <w:tmpl w:val="1F890D1C"/>
    <w:lvl w:ilvl="0" w:tentative="0">
      <w:start w:val="1"/>
      <w:numFmt w:val="decimalEnclosedCircle"/>
      <w:lvlText w:val="%1"/>
      <w:lvlJc w:val="left"/>
      <w:pPr>
        <w:ind w:left="840" w:hanging="360"/>
      </w:pPr>
      <w:rPr>
        <w:rFonts w:hint="default"/>
        <w:b w:val="0"/>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
    <w:nsid w:val="1FC91163"/>
    <w:multiLevelType w:val="multilevel"/>
    <w:tmpl w:val="1FC91163"/>
    <w:lvl w:ilvl="0" w:tentative="0">
      <w:start w:val="1"/>
      <w:numFmt w:val="decimal"/>
      <w:pStyle w:val="94"/>
      <w:suff w:val="nothing"/>
      <w:lvlText w:val="%1　"/>
      <w:lvlJc w:val="left"/>
      <w:pPr>
        <w:ind w:left="4111" w:firstLine="0"/>
      </w:pPr>
      <w:rPr>
        <w:rFonts w:hint="eastAsia" w:ascii="黑体" w:hAnsi="Times New Roman" w:eastAsia="黑体"/>
        <w:b w:val="0"/>
        <w:i w:val="0"/>
        <w:sz w:val="21"/>
        <w:szCs w:val="21"/>
      </w:rPr>
    </w:lvl>
    <w:lvl w:ilvl="1" w:tentative="0">
      <w:start w:val="1"/>
      <w:numFmt w:val="decimal"/>
      <w:pStyle w:val="93"/>
      <w:suff w:val="nothing"/>
      <w:lvlText w:val="%1.%2　"/>
      <w:lvlJc w:val="left"/>
      <w:pPr>
        <w:ind w:left="851" w:firstLine="0"/>
      </w:pPr>
      <w:rPr>
        <w:rFonts w:hint="eastAsia" w:ascii="黑体" w:hAnsi="Times New Roman" w:eastAsia="黑体" w:cs="Times New Roman"/>
        <w:b w:val="0"/>
        <w:bCs w:val="0"/>
        <w:i w:val="0"/>
        <w:iCs w:val="0"/>
        <w:caps w:val="0"/>
        <w:strike w:val="0"/>
        <w:dstrike w:val="0"/>
        <w:vanish w:val="0"/>
        <w:color w:val="000000"/>
        <w:spacing w:val="0"/>
        <w:kern w:val="0"/>
        <w:position w:val="0"/>
        <w:sz w:val="21"/>
        <w:szCs w:val="21"/>
        <w:u w:val="none"/>
        <w:vertAlign w:val="baseline"/>
      </w:rPr>
    </w:lvl>
    <w:lvl w:ilvl="2" w:tentative="0">
      <w:start w:val="1"/>
      <w:numFmt w:val="decimal"/>
      <w:pStyle w:val="95"/>
      <w:suff w:val="nothing"/>
      <w:lvlText w:val="%1.%2.%3　"/>
      <w:lvlJc w:val="left"/>
      <w:pPr>
        <w:ind w:left="7088" w:firstLine="0"/>
      </w:pPr>
      <w:rPr>
        <w:rFonts w:hint="eastAsia" w:ascii="黑体" w:hAnsi="Times New Roman" w:eastAsia="黑体"/>
        <w:b w:val="0"/>
        <w:i w:val="0"/>
        <w:color w:val="auto"/>
        <w:sz w:val="21"/>
      </w:rPr>
    </w:lvl>
    <w:lvl w:ilvl="3" w:tentative="0">
      <w:start w:val="1"/>
      <w:numFmt w:val="decimal"/>
      <w:pStyle w:val="96"/>
      <w:suff w:val="nothing"/>
      <w:lvlText w:val="%1.%2.%3.%4　"/>
      <w:lvlJc w:val="left"/>
      <w:pPr>
        <w:ind w:left="284" w:firstLine="0"/>
      </w:pPr>
      <w:rPr>
        <w:rFonts w:hint="eastAsia" w:ascii="黑体" w:hAnsi="Times New Roman" w:eastAsia="黑体"/>
        <w:b w:val="0"/>
        <w:i w:val="0"/>
        <w:sz w:val="21"/>
      </w:rPr>
    </w:lvl>
    <w:lvl w:ilvl="4" w:tentative="0">
      <w:start w:val="1"/>
      <w:numFmt w:val="decimal"/>
      <w:pStyle w:val="97"/>
      <w:suff w:val="nothing"/>
      <w:lvlText w:val="%1.%2.%3.%4.%5　"/>
      <w:lvlJc w:val="left"/>
      <w:pPr>
        <w:ind w:left="0" w:firstLine="0"/>
      </w:pPr>
      <w:rPr>
        <w:rFonts w:hint="eastAsia" w:ascii="黑体" w:hAnsi="Times New Roman" w:eastAsia="黑体"/>
        <w:b w:val="0"/>
        <w:i w:val="0"/>
        <w:sz w:val="21"/>
      </w:rPr>
    </w:lvl>
    <w:lvl w:ilvl="5" w:tentative="0">
      <w:start w:val="1"/>
      <w:numFmt w:val="decimal"/>
      <w:pStyle w:val="98"/>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3">
    <w:nsid w:val="557C2AF5"/>
    <w:multiLevelType w:val="multilevel"/>
    <w:tmpl w:val="557C2AF5"/>
    <w:lvl w:ilvl="0" w:tentative="0">
      <w:start w:val="1"/>
      <w:numFmt w:val="decimal"/>
      <w:pStyle w:val="100"/>
      <w:suff w:val="nothing"/>
      <w:lvlText w:val="图%1　"/>
      <w:lvlJc w:val="left"/>
      <w:pPr>
        <w:ind w:left="1701" w:firstLine="0"/>
      </w:pPr>
      <w:rPr>
        <w:rFonts w:hint="eastAsia" w:ascii="黑体" w:hAnsi="Times New Roman" w:eastAsia="黑体"/>
        <w:b w:val="0"/>
        <w:i w:val="0"/>
        <w:sz w:val="21"/>
      </w:rPr>
    </w:lvl>
    <w:lvl w:ilvl="1" w:tentative="0">
      <w:start w:val="1"/>
      <w:numFmt w:val="decimal"/>
      <w:suff w:val="nothing"/>
      <w:lvlText w:val="%1%2　"/>
      <w:lvlJc w:val="left"/>
      <w:pPr>
        <w:ind w:left="0" w:firstLine="0"/>
      </w:pPr>
      <w:rPr>
        <w:rFonts w:hint="default" w:ascii="Times New Roman" w:hAnsi="Times New Roman" w:eastAsia="黑体"/>
        <w:b w:val="0"/>
        <w:i w:val="0"/>
        <w:sz w:val="21"/>
      </w:rPr>
    </w:lvl>
    <w:lvl w:ilvl="2" w:tentative="0">
      <w:start w:val="1"/>
      <w:numFmt w:val="decimal"/>
      <w:suff w:val="nothing"/>
      <w:lvlText w:val="%1%2.%3　"/>
      <w:lvlJc w:val="left"/>
      <w:pPr>
        <w:ind w:left="0" w:firstLine="0"/>
      </w:pPr>
      <w:rPr>
        <w:rFonts w:hint="default" w:ascii="Times New Roman" w:hAnsi="Times New Roman" w:eastAsia="黑体"/>
        <w:b w:val="0"/>
        <w:i w:val="0"/>
        <w:sz w:val="21"/>
      </w:rPr>
    </w:lvl>
    <w:lvl w:ilvl="3" w:tentative="0">
      <w:start w:val="1"/>
      <w:numFmt w:val="decimal"/>
      <w:suff w:val="nothing"/>
      <w:lvlText w:val="%1%2.%3.%4　"/>
      <w:lvlJc w:val="left"/>
      <w:pPr>
        <w:ind w:left="0" w:firstLine="0"/>
      </w:pPr>
      <w:rPr>
        <w:rFonts w:hint="default" w:ascii="Times New Roman" w:hAnsi="Times New Roman" w:eastAsia="黑体"/>
        <w:b w:val="0"/>
        <w:i w:val="0"/>
        <w:sz w:val="21"/>
      </w:rPr>
    </w:lvl>
    <w:lvl w:ilvl="4" w:tentative="0">
      <w:start w:val="1"/>
      <w:numFmt w:val="decimal"/>
      <w:suff w:val="nothing"/>
      <w:lvlText w:val="%1%2.%3.%4.%5　"/>
      <w:lvlJc w:val="left"/>
      <w:pPr>
        <w:ind w:left="0" w:firstLine="0"/>
      </w:pPr>
      <w:rPr>
        <w:rFonts w:hint="default" w:ascii="Times New Roman" w:hAnsi="Times New Roman" w:eastAsia="黑体"/>
        <w:b w:val="0"/>
        <w:i w:val="0"/>
        <w:sz w:val="21"/>
      </w:rPr>
    </w:lvl>
    <w:lvl w:ilvl="5" w:tentative="0">
      <w:start w:val="1"/>
      <w:numFmt w:val="decimal"/>
      <w:suff w:val="nothing"/>
      <w:lvlText w:val="%1%2.%3.%4.%5.%6　"/>
      <w:lvlJc w:val="left"/>
      <w:pPr>
        <w:ind w:left="0" w:firstLine="0"/>
      </w:pPr>
      <w:rPr>
        <w:rFonts w:hint="default" w:ascii="Times New Roman" w:hAnsi="Times New Roman" w:eastAsia="黑体"/>
        <w:b w:val="0"/>
        <w:i w:val="0"/>
        <w:sz w:val="21"/>
      </w:rPr>
    </w:lvl>
    <w:lvl w:ilvl="6" w:tentative="0">
      <w:start w:val="1"/>
      <w:numFmt w:val="decimal"/>
      <w:suff w:val="nothing"/>
      <w:lvlText w:val="%1%2.%3.%4.%5.%6.%7　"/>
      <w:lvlJc w:val="left"/>
      <w:pPr>
        <w:ind w:left="0" w:firstLine="0"/>
      </w:pPr>
      <w:rPr>
        <w:rFonts w:hint="default" w:ascii="Times New Roman"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4">
    <w:nsid w:val="675277CA"/>
    <w:multiLevelType w:val="multilevel"/>
    <w:tmpl w:val="675277CA"/>
    <w:lvl w:ilvl="0" w:tentative="0">
      <w:start w:val="1"/>
      <w:numFmt w:val="decimal"/>
      <w:lvlText w:val="%1"/>
      <w:lvlJc w:val="left"/>
      <w:pPr>
        <w:ind w:left="567" w:hanging="567"/>
      </w:pPr>
      <w:rPr>
        <w:rFonts w:hint="default"/>
      </w:rPr>
    </w:lvl>
    <w:lvl w:ilvl="1" w:tentative="0">
      <w:start w:val="1"/>
      <w:numFmt w:val="decimal"/>
      <w:lvlText w:val="%1.%2"/>
      <w:lvlJc w:val="left"/>
      <w:pPr>
        <w:ind w:left="624" w:hanging="624"/>
      </w:pPr>
      <w:rPr>
        <w:rFonts w:hint="default"/>
      </w:rPr>
    </w:lvl>
    <w:lvl w:ilvl="2" w:tentative="0">
      <w:start w:val="1"/>
      <w:numFmt w:val="decimal"/>
      <w:lvlText w:val="%1.%2.%3"/>
      <w:lvlJc w:val="left"/>
      <w:pPr>
        <w:ind w:left="567" w:hanging="567"/>
      </w:pPr>
      <w:rPr>
        <w:rFonts w:hint="default"/>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440" w:hanging="1440"/>
      </w:pPr>
      <w:rPr>
        <w:rFonts w:hint="default"/>
      </w:rPr>
    </w:lvl>
    <w:lvl w:ilvl="5" w:tentative="0">
      <w:start w:val="1"/>
      <w:numFmt w:val="decimal"/>
      <w:lvlText w:val="%1.%2.%3.%4.%5.%6"/>
      <w:lvlJc w:val="left"/>
      <w:pPr>
        <w:ind w:left="1800" w:hanging="1800"/>
      </w:pPr>
      <w:rPr>
        <w:rFonts w:hint="default"/>
      </w:rPr>
    </w:lvl>
    <w:lvl w:ilvl="6" w:tentative="0">
      <w:start w:val="1"/>
      <w:numFmt w:val="decimal"/>
      <w:lvlText w:val="%1.%2.%3.%4.%5.%6.%7"/>
      <w:lvlJc w:val="left"/>
      <w:pPr>
        <w:ind w:left="2160" w:hanging="2160"/>
      </w:pPr>
      <w:rPr>
        <w:rFonts w:hint="default"/>
      </w:rPr>
    </w:lvl>
    <w:lvl w:ilvl="7" w:tentative="0">
      <w:start w:val="1"/>
      <w:numFmt w:val="decimal"/>
      <w:lvlText w:val="%1.%2.%3.%4.%5.%6.%7.%8"/>
      <w:lvlJc w:val="left"/>
      <w:pPr>
        <w:ind w:left="2520" w:hanging="2520"/>
      </w:pPr>
      <w:rPr>
        <w:rFonts w:hint="default"/>
      </w:rPr>
    </w:lvl>
    <w:lvl w:ilvl="8" w:tentative="0">
      <w:start w:val="1"/>
      <w:numFmt w:val="decimal"/>
      <w:lvlText w:val="%1.%2.%3.%4.%5.%6.%7.%8.%9"/>
      <w:lvlJc w:val="left"/>
      <w:pPr>
        <w:ind w:left="2880" w:hanging="2880"/>
      </w:pPr>
      <w:rPr>
        <w:rFonts w:hint="default"/>
      </w:rPr>
    </w:lvl>
  </w:abstractNum>
  <w:abstractNum w:abstractNumId="5">
    <w:nsid w:val="6DBF04F4"/>
    <w:multiLevelType w:val="multilevel"/>
    <w:tmpl w:val="6DBF04F4"/>
    <w:lvl w:ilvl="0" w:tentative="0">
      <w:start w:val="1"/>
      <w:numFmt w:val="none"/>
      <w:suff w:val="nothing"/>
      <w:lvlText w:val="%1注："/>
      <w:lvlJc w:val="left"/>
      <w:pPr>
        <w:ind w:left="930" w:hanging="363"/>
      </w:pPr>
      <w:rPr>
        <w:rFonts w:hint="eastAsia" w:ascii="黑体" w:hAnsi="Times New Roman" w:eastAsia="黑体"/>
        <w:b w:val="0"/>
        <w:i w:val="0"/>
        <w:sz w:val="18"/>
      </w:rPr>
    </w:lvl>
    <w:lvl w:ilvl="1" w:tentative="0">
      <w:start w:val="1"/>
      <w:numFmt w:val="lowerLetter"/>
      <w:lvlText w:val="%2)"/>
      <w:lvlJc w:val="left"/>
      <w:pPr>
        <w:tabs>
          <w:tab w:val="left" w:pos="1344"/>
        </w:tabs>
        <w:ind w:left="930" w:hanging="363"/>
      </w:pPr>
      <w:rPr>
        <w:rFonts w:hint="eastAsia"/>
      </w:rPr>
    </w:lvl>
    <w:lvl w:ilvl="2" w:tentative="0">
      <w:start w:val="1"/>
      <w:numFmt w:val="lowerRoman"/>
      <w:lvlText w:val="%3."/>
      <w:lvlJc w:val="right"/>
      <w:pPr>
        <w:tabs>
          <w:tab w:val="left" w:pos="1344"/>
        </w:tabs>
        <w:ind w:left="930" w:hanging="363"/>
      </w:pPr>
      <w:rPr>
        <w:rFonts w:hint="eastAsia"/>
      </w:rPr>
    </w:lvl>
    <w:lvl w:ilvl="3" w:tentative="0">
      <w:start w:val="1"/>
      <w:numFmt w:val="decimal"/>
      <w:lvlText w:val="%4."/>
      <w:lvlJc w:val="left"/>
      <w:pPr>
        <w:tabs>
          <w:tab w:val="left" w:pos="1344"/>
        </w:tabs>
        <w:ind w:left="930" w:hanging="363"/>
      </w:pPr>
      <w:rPr>
        <w:rFonts w:hint="eastAsia"/>
      </w:rPr>
    </w:lvl>
    <w:lvl w:ilvl="4" w:tentative="0">
      <w:start w:val="1"/>
      <w:numFmt w:val="lowerLetter"/>
      <w:lvlText w:val="%5)"/>
      <w:lvlJc w:val="left"/>
      <w:pPr>
        <w:tabs>
          <w:tab w:val="left" w:pos="1344"/>
        </w:tabs>
        <w:ind w:left="930" w:hanging="363"/>
      </w:pPr>
      <w:rPr>
        <w:rFonts w:hint="eastAsia"/>
      </w:rPr>
    </w:lvl>
    <w:lvl w:ilvl="5" w:tentative="0">
      <w:start w:val="1"/>
      <w:numFmt w:val="lowerRoman"/>
      <w:lvlText w:val="%6."/>
      <w:lvlJc w:val="right"/>
      <w:pPr>
        <w:tabs>
          <w:tab w:val="left" w:pos="1344"/>
        </w:tabs>
        <w:ind w:left="930" w:hanging="363"/>
      </w:pPr>
      <w:rPr>
        <w:rFonts w:hint="eastAsia"/>
      </w:rPr>
    </w:lvl>
    <w:lvl w:ilvl="6" w:tentative="0">
      <w:start w:val="1"/>
      <w:numFmt w:val="decimal"/>
      <w:lvlText w:val="%7."/>
      <w:lvlJc w:val="left"/>
      <w:pPr>
        <w:tabs>
          <w:tab w:val="left" w:pos="1344"/>
        </w:tabs>
        <w:ind w:left="930" w:hanging="363"/>
      </w:pPr>
      <w:rPr>
        <w:rFonts w:hint="eastAsia"/>
      </w:rPr>
    </w:lvl>
    <w:lvl w:ilvl="7" w:tentative="0">
      <w:start w:val="1"/>
      <w:numFmt w:val="lowerLetter"/>
      <w:lvlText w:val="%8)"/>
      <w:lvlJc w:val="left"/>
      <w:pPr>
        <w:tabs>
          <w:tab w:val="left" w:pos="1344"/>
        </w:tabs>
        <w:ind w:left="930" w:hanging="363"/>
      </w:pPr>
      <w:rPr>
        <w:rFonts w:hint="eastAsia"/>
      </w:rPr>
    </w:lvl>
    <w:lvl w:ilvl="8" w:tentative="0">
      <w:start w:val="1"/>
      <w:numFmt w:val="lowerRoman"/>
      <w:lvlText w:val="%9."/>
      <w:lvlJc w:val="right"/>
      <w:pPr>
        <w:tabs>
          <w:tab w:val="left" w:pos="1344"/>
        </w:tabs>
        <w:ind w:left="930" w:hanging="363"/>
      </w:pPr>
      <w:rPr>
        <w:rFonts w:hint="eastAsia"/>
      </w:rPr>
    </w:lvl>
  </w:abstractNum>
  <w:abstractNum w:abstractNumId="6">
    <w:nsid w:val="70D97F57"/>
    <w:multiLevelType w:val="multilevel"/>
    <w:tmpl w:val="70D97F57"/>
    <w:lvl w:ilvl="0" w:tentative="0">
      <w:start w:val="1"/>
      <w:numFmt w:val="bullet"/>
      <w:pStyle w:val="101"/>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7">
    <w:nsid w:val="77FC587E"/>
    <w:multiLevelType w:val="multilevel"/>
    <w:tmpl w:val="77FC587E"/>
    <w:lvl w:ilvl="0" w:tentative="0">
      <w:start w:val="1"/>
      <w:numFmt w:val="decimal"/>
      <w:pStyle w:val="102"/>
      <w:lvlText w:val="%1"/>
      <w:lvlJc w:val="left"/>
      <w:pPr>
        <w:ind w:left="0" w:firstLine="0"/>
      </w:pPr>
      <w:rPr>
        <w:rFonts w:hint="default" w:ascii="Times New Roman" w:hAnsi="Times New Roman" w:eastAsia="黑体"/>
        <w:b/>
        <w:i w:val="0"/>
      </w:rPr>
    </w:lvl>
    <w:lvl w:ilvl="1" w:tentative="0">
      <w:start w:val="1"/>
      <w:numFmt w:val="decimal"/>
      <w:lvlText w:val="%1.%2"/>
      <w:lvlJc w:val="left"/>
      <w:pPr>
        <w:ind w:left="992" w:hanging="567"/>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num w:numId="1">
    <w:abstractNumId w:val="2"/>
  </w:num>
  <w:num w:numId="2">
    <w:abstractNumId w:val="3"/>
  </w:num>
  <w:num w:numId="3">
    <w:abstractNumId w:val="6"/>
  </w:num>
  <w:num w:numId="4">
    <w:abstractNumId w:val="7"/>
  </w:num>
  <w:num w:numId="5">
    <w:abstractNumId w:val="4"/>
  </w:num>
  <w:num w:numId="6">
    <w:abstractNumId w:val="5"/>
  </w:num>
  <w:num w:numId="7">
    <w:abstractNumId w:val="0"/>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50"/>
  <w:bordersDoNotSurroundHeader w:val="1"/>
  <w:bordersDoNotSurroundFooter w:val="1"/>
  <w:hideSpellingErrors/>
  <w:documentProtection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FiMTFmYzdjMTg5OWVmY2IxNjI1ODNhYjZmNThlMDUifQ=="/>
  </w:docVars>
  <w:rsids>
    <w:rsidRoot w:val="004C0466"/>
    <w:rsid w:val="000013EC"/>
    <w:rsid w:val="000027AA"/>
    <w:rsid w:val="00003F37"/>
    <w:rsid w:val="000053D1"/>
    <w:rsid w:val="0000577E"/>
    <w:rsid w:val="00006A3D"/>
    <w:rsid w:val="00010951"/>
    <w:rsid w:val="00011834"/>
    <w:rsid w:val="00011B1E"/>
    <w:rsid w:val="00013221"/>
    <w:rsid w:val="0001325E"/>
    <w:rsid w:val="00014CE4"/>
    <w:rsid w:val="00016B1D"/>
    <w:rsid w:val="00017166"/>
    <w:rsid w:val="000176DB"/>
    <w:rsid w:val="00017A41"/>
    <w:rsid w:val="00021CD9"/>
    <w:rsid w:val="00022EE9"/>
    <w:rsid w:val="00022FCE"/>
    <w:rsid w:val="000240D8"/>
    <w:rsid w:val="000240FD"/>
    <w:rsid w:val="00024159"/>
    <w:rsid w:val="00024A3C"/>
    <w:rsid w:val="00024B23"/>
    <w:rsid w:val="00025E81"/>
    <w:rsid w:val="0002608C"/>
    <w:rsid w:val="00027C4F"/>
    <w:rsid w:val="00031453"/>
    <w:rsid w:val="00031B91"/>
    <w:rsid w:val="00034CA7"/>
    <w:rsid w:val="000369C9"/>
    <w:rsid w:val="00040A64"/>
    <w:rsid w:val="00042941"/>
    <w:rsid w:val="00042EA8"/>
    <w:rsid w:val="00043630"/>
    <w:rsid w:val="00043E72"/>
    <w:rsid w:val="00046D00"/>
    <w:rsid w:val="00047463"/>
    <w:rsid w:val="000479D6"/>
    <w:rsid w:val="00047E05"/>
    <w:rsid w:val="00051672"/>
    <w:rsid w:val="000522E0"/>
    <w:rsid w:val="000524B3"/>
    <w:rsid w:val="000539D4"/>
    <w:rsid w:val="000547D3"/>
    <w:rsid w:val="00055605"/>
    <w:rsid w:val="000562B1"/>
    <w:rsid w:val="00056F09"/>
    <w:rsid w:val="00060DCE"/>
    <w:rsid w:val="00061226"/>
    <w:rsid w:val="00062DC0"/>
    <w:rsid w:val="00063D62"/>
    <w:rsid w:val="00064475"/>
    <w:rsid w:val="00065067"/>
    <w:rsid w:val="00065478"/>
    <w:rsid w:val="00065B84"/>
    <w:rsid w:val="0006680E"/>
    <w:rsid w:val="00066F2C"/>
    <w:rsid w:val="000701BA"/>
    <w:rsid w:val="0007069B"/>
    <w:rsid w:val="0007135A"/>
    <w:rsid w:val="00072F05"/>
    <w:rsid w:val="00073379"/>
    <w:rsid w:val="00075D98"/>
    <w:rsid w:val="00077323"/>
    <w:rsid w:val="00077E8A"/>
    <w:rsid w:val="00080DDE"/>
    <w:rsid w:val="00081071"/>
    <w:rsid w:val="00082EAB"/>
    <w:rsid w:val="00083CAE"/>
    <w:rsid w:val="000862A0"/>
    <w:rsid w:val="00086C00"/>
    <w:rsid w:val="00087084"/>
    <w:rsid w:val="000913B5"/>
    <w:rsid w:val="0009159A"/>
    <w:rsid w:val="00092C8F"/>
    <w:rsid w:val="00094A7C"/>
    <w:rsid w:val="00095EBE"/>
    <w:rsid w:val="00097E61"/>
    <w:rsid w:val="000A1527"/>
    <w:rsid w:val="000A2058"/>
    <w:rsid w:val="000A2E44"/>
    <w:rsid w:val="000A3045"/>
    <w:rsid w:val="000A32D4"/>
    <w:rsid w:val="000A3F8B"/>
    <w:rsid w:val="000A5D81"/>
    <w:rsid w:val="000A70C0"/>
    <w:rsid w:val="000A72A9"/>
    <w:rsid w:val="000B00BD"/>
    <w:rsid w:val="000B2887"/>
    <w:rsid w:val="000B2C24"/>
    <w:rsid w:val="000B2FD3"/>
    <w:rsid w:val="000B31F2"/>
    <w:rsid w:val="000B3B7C"/>
    <w:rsid w:val="000B44B1"/>
    <w:rsid w:val="000B4FEE"/>
    <w:rsid w:val="000B55CB"/>
    <w:rsid w:val="000B6D55"/>
    <w:rsid w:val="000B7260"/>
    <w:rsid w:val="000C1F7F"/>
    <w:rsid w:val="000C2133"/>
    <w:rsid w:val="000C2167"/>
    <w:rsid w:val="000C417E"/>
    <w:rsid w:val="000C5201"/>
    <w:rsid w:val="000C5EB3"/>
    <w:rsid w:val="000C6291"/>
    <w:rsid w:val="000C748E"/>
    <w:rsid w:val="000D2F09"/>
    <w:rsid w:val="000D4060"/>
    <w:rsid w:val="000D5462"/>
    <w:rsid w:val="000E391E"/>
    <w:rsid w:val="000E3C40"/>
    <w:rsid w:val="000E4DD9"/>
    <w:rsid w:val="000E6BFE"/>
    <w:rsid w:val="000E706B"/>
    <w:rsid w:val="000E7116"/>
    <w:rsid w:val="000F0625"/>
    <w:rsid w:val="000F095A"/>
    <w:rsid w:val="000F1A0F"/>
    <w:rsid w:val="000F2807"/>
    <w:rsid w:val="000F2A38"/>
    <w:rsid w:val="000F4C28"/>
    <w:rsid w:val="000F5AAC"/>
    <w:rsid w:val="0010045D"/>
    <w:rsid w:val="001005B2"/>
    <w:rsid w:val="001023E5"/>
    <w:rsid w:val="00103729"/>
    <w:rsid w:val="001039EA"/>
    <w:rsid w:val="00103A24"/>
    <w:rsid w:val="001047FF"/>
    <w:rsid w:val="001053D1"/>
    <w:rsid w:val="00105497"/>
    <w:rsid w:val="00106A85"/>
    <w:rsid w:val="00107058"/>
    <w:rsid w:val="00107147"/>
    <w:rsid w:val="00107535"/>
    <w:rsid w:val="00107630"/>
    <w:rsid w:val="00110514"/>
    <w:rsid w:val="00110715"/>
    <w:rsid w:val="0011132C"/>
    <w:rsid w:val="001115F9"/>
    <w:rsid w:val="001125A4"/>
    <w:rsid w:val="00112603"/>
    <w:rsid w:val="0011389A"/>
    <w:rsid w:val="00114CC8"/>
    <w:rsid w:val="00115233"/>
    <w:rsid w:val="0011531F"/>
    <w:rsid w:val="001153E2"/>
    <w:rsid w:val="00116375"/>
    <w:rsid w:val="00116D8B"/>
    <w:rsid w:val="001209D9"/>
    <w:rsid w:val="00121484"/>
    <w:rsid w:val="001214E3"/>
    <w:rsid w:val="0012230B"/>
    <w:rsid w:val="0012281F"/>
    <w:rsid w:val="00122DBA"/>
    <w:rsid w:val="00125AEB"/>
    <w:rsid w:val="0012706D"/>
    <w:rsid w:val="001306E2"/>
    <w:rsid w:val="00130803"/>
    <w:rsid w:val="001309C6"/>
    <w:rsid w:val="00130B9B"/>
    <w:rsid w:val="00131B1A"/>
    <w:rsid w:val="0013222E"/>
    <w:rsid w:val="00132A85"/>
    <w:rsid w:val="001337C4"/>
    <w:rsid w:val="00133C56"/>
    <w:rsid w:val="00135B36"/>
    <w:rsid w:val="00135BD2"/>
    <w:rsid w:val="0013605C"/>
    <w:rsid w:val="001375F1"/>
    <w:rsid w:val="001406F3"/>
    <w:rsid w:val="00141408"/>
    <w:rsid w:val="00141EF8"/>
    <w:rsid w:val="00142209"/>
    <w:rsid w:val="00145ADA"/>
    <w:rsid w:val="00146B07"/>
    <w:rsid w:val="00147145"/>
    <w:rsid w:val="001471C9"/>
    <w:rsid w:val="0014770B"/>
    <w:rsid w:val="001479CB"/>
    <w:rsid w:val="0015056F"/>
    <w:rsid w:val="00150804"/>
    <w:rsid w:val="00151D77"/>
    <w:rsid w:val="001523B8"/>
    <w:rsid w:val="0015291D"/>
    <w:rsid w:val="00153135"/>
    <w:rsid w:val="00153AA9"/>
    <w:rsid w:val="001540CE"/>
    <w:rsid w:val="001549B8"/>
    <w:rsid w:val="00154EFA"/>
    <w:rsid w:val="00155E18"/>
    <w:rsid w:val="001617DC"/>
    <w:rsid w:val="00162BAB"/>
    <w:rsid w:val="00162E90"/>
    <w:rsid w:val="001646B9"/>
    <w:rsid w:val="00164C62"/>
    <w:rsid w:val="00165D4C"/>
    <w:rsid w:val="00166A44"/>
    <w:rsid w:val="00167F1E"/>
    <w:rsid w:val="00171CD3"/>
    <w:rsid w:val="00172636"/>
    <w:rsid w:val="00173055"/>
    <w:rsid w:val="00176E8E"/>
    <w:rsid w:val="00177464"/>
    <w:rsid w:val="0018000D"/>
    <w:rsid w:val="001816F2"/>
    <w:rsid w:val="001853C4"/>
    <w:rsid w:val="00187E21"/>
    <w:rsid w:val="00190C7B"/>
    <w:rsid w:val="0019269B"/>
    <w:rsid w:val="00193155"/>
    <w:rsid w:val="0019642F"/>
    <w:rsid w:val="00197EE9"/>
    <w:rsid w:val="001A0404"/>
    <w:rsid w:val="001A0A90"/>
    <w:rsid w:val="001A2399"/>
    <w:rsid w:val="001A2C10"/>
    <w:rsid w:val="001A36A1"/>
    <w:rsid w:val="001A5DE1"/>
    <w:rsid w:val="001A659F"/>
    <w:rsid w:val="001A6D12"/>
    <w:rsid w:val="001B0D70"/>
    <w:rsid w:val="001B1D90"/>
    <w:rsid w:val="001B1F95"/>
    <w:rsid w:val="001B2D71"/>
    <w:rsid w:val="001B342A"/>
    <w:rsid w:val="001B35CF"/>
    <w:rsid w:val="001B36FF"/>
    <w:rsid w:val="001B3DFC"/>
    <w:rsid w:val="001B4BB3"/>
    <w:rsid w:val="001B5308"/>
    <w:rsid w:val="001B7810"/>
    <w:rsid w:val="001B7F6D"/>
    <w:rsid w:val="001C0D5A"/>
    <w:rsid w:val="001C1883"/>
    <w:rsid w:val="001C18AC"/>
    <w:rsid w:val="001C1F2D"/>
    <w:rsid w:val="001C2403"/>
    <w:rsid w:val="001C5A33"/>
    <w:rsid w:val="001C5D41"/>
    <w:rsid w:val="001C67BC"/>
    <w:rsid w:val="001C7541"/>
    <w:rsid w:val="001D1278"/>
    <w:rsid w:val="001D3664"/>
    <w:rsid w:val="001D3B73"/>
    <w:rsid w:val="001D3EDB"/>
    <w:rsid w:val="001D45CE"/>
    <w:rsid w:val="001D5117"/>
    <w:rsid w:val="001D537B"/>
    <w:rsid w:val="001D549F"/>
    <w:rsid w:val="001D695E"/>
    <w:rsid w:val="001D7906"/>
    <w:rsid w:val="001E1313"/>
    <w:rsid w:val="001E134C"/>
    <w:rsid w:val="001E13E3"/>
    <w:rsid w:val="001E1D30"/>
    <w:rsid w:val="001E4632"/>
    <w:rsid w:val="001E471B"/>
    <w:rsid w:val="001E5010"/>
    <w:rsid w:val="001E50D3"/>
    <w:rsid w:val="001E544E"/>
    <w:rsid w:val="001E7C40"/>
    <w:rsid w:val="001F04B8"/>
    <w:rsid w:val="001F209E"/>
    <w:rsid w:val="001F215B"/>
    <w:rsid w:val="001F2778"/>
    <w:rsid w:val="001F3044"/>
    <w:rsid w:val="001F3361"/>
    <w:rsid w:val="001F43B8"/>
    <w:rsid w:val="001F58FF"/>
    <w:rsid w:val="001F594E"/>
    <w:rsid w:val="001F5CCE"/>
    <w:rsid w:val="001F6837"/>
    <w:rsid w:val="001F68CB"/>
    <w:rsid w:val="001F7F33"/>
    <w:rsid w:val="002008E1"/>
    <w:rsid w:val="00201388"/>
    <w:rsid w:val="0020153F"/>
    <w:rsid w:val="002025E9"/>
    <w:rsid w:val="00202C01"/>
    <w:rsid w:val="00202E79"/>
    <w:rsid w:val="00203692"/>
    <w:rsid w:val="00210027"/>
    <w:rsid w:val="00210326"/>
    <w:rsid w:val="0021150D"/>
    <w:rsid w:val="00211D16"/>
    <w:rsid w:val="00212649"/>
    <w:rsid w:val="0021269A"/>
    <w:rsid w:val="0021327D"/>
    <w:rsid w:val="00214478"/>
    <w:rsid w:val="0021573B"/>
    <w:rsid w:val="002170B7"/>
    <w:rsid w:val="00220F76"/>
    <w:rsid w:val="002222FF"/>
    <w:rsid w:val="00222319"/>
    <w:rsid w:val="002225CC"/>
    <w:rsid w:val="002237B3"/>
    <w:rsid w:val="00224CB9"/>
    <w:rsid w:val="00227BFD"/>
    <w:rsid w:val="00227E63"/>
    <w:rsid w:val="00230367"/>
    <w:rsid w:val="00230D57"/>
    <w:rsid w:val="00232009"/>
    <w:rsid w:val="00232A95"/>
    <w:rsid w:val="00232F68"/>
    <w:rsid w:val="0023312A"/>
    <w:rsid w:val="0023481E"/>
    <w:rsid w:val="002349D5"/>
    <w:rsid w:val="00234FB0"/>
    <w:rsid w:val="00236136"/>
    <w:rsid w:val="00237A61"/>
    <w:rsid w:val="00237EA6"/>
    <w:rsid w:val="00240223"/>
    <w:rsid w:val="002412D3"/>
    <w:rsid w:val="002423CF"/>
    <w:rsid w:val="002435A5"/>
    <w:rsid w:val="00244B05"/>
    <w:rsid w:val="00244F88"/>
    <w:rsid w:val="00244FB6"/>
    <w:rsid w:val="0024737A"/>
    <w:rsid w:val="002506FD"/>
    <w:rsid w:val="0025132B"/>
    <w:rsid w:val="002513B3"/>
    <w:rsid w:val="00251561"/>
    <w:rsid w:val="0025312E"/>
    <w:rsid w:val="002545B5"/>
    <w:rsid w:val="00256776"/>
    <w:rsid w:val="00257BDE"/>
    <w:rsid w:val="00260CED"/>
    <w:rsid w:val="00260D73"/>
    <w:rsid w:val="00262CBF"/>
    <w:rsid w:val="002631C0"/>
    <w:rsid w:val="002645B8"/>
    <w:rsid w:val="00266598"/>
    <w:rsid w:val="002675C8"/>
    <w:rsid w:val="00267A36"/>
    <w:rsid w:val="00267E8F"/>
    <w:rsid w:val="00267FA5"/>
    <w:rsid w:val="00273335"/>
    <w:rsid w:val="002733F6"/>
    <w:rsid w:val="00274745"/>
    <w:rsid w:val="00274F5D"/>
    <w:rsid w:val="00276949"/>
    <w:rsid w:val="0027752B"/>
    <w:rsid w:val="00282272"/>
    <w:rsid w:val="002834FB"/>
    <w:rsid w:val="0028369E"/>
    <w:rsid w:val="002862AC"/>
    <w:rsid w:val="002914C5"/>
    <w:rsid w:val="002916A8"/>
    <w:rsid w:val="0029346B"/>
    <w:rsid w:val="00294DB6"/>
    <w:rsid w:val="00294DC0"/>
    <w:rsid w:val="00296262"/>
    <w:rsid w:val="00296543"/>
    <w:rsid w:val="00296BC2"/>
    <w:rsid w:val="0029797B"/>
    <w:rsid w:val="002A0872"/>
    <w:rsid w:val="002A0B30"/>
    <w:rsid w:val="002A1302"/>
    <w:rsid w:val="002A19F5"/>
    <w:rsid w:val="002A1F6A"/>
    <w:rsid w:val="002A2FFF"/>
    <w:rsid w:val="002A305B"/>
    <w:rsid w:val="002A372B"/>
    <w:rsid w:val="002A4527"/>
    <w:rsid w:val="002A73BB"/>
    <w:rsid w:val="002B03DA"/>
    <w:rsid w:val="002B0B73"/>
    <w:rsid w:val="002B0B98"/>
    <w:rsid w:val="002B261D"/>
    <w:rsid w:val="002B377D"/>
    <w:rsid w:val="002B57C3"/>
    <w:rsid w:val="002B69EA"/>
    <w:rsid w:val="002C109B"/>
    <w:rsid w:val="002C1D8F"/>
    <w:rsid w:val="002C2B61"/>
    <w:rsid w:val="002C70CE"/>
    <w:rsid w:val="002C7670"/>
    <w:rsid w:val="002C7A2D"/>
    <w:rsid w:val="002D0A2F"/>
    <w:rsid w:val="002D0DC8"/>
    <w:rsid w:val="002D2B3A"/>
    <w:rsid w:val="002D2BEA"/>
    <w:rsid w:val="002D3713"/>
    <w:rsid w:val="002D5236"/>
    <w:rsid w:val="002D52FE"/>
    <w:rsid w:val="002D5451"/>
    <w:rsid w:val="002D5CEE"/>
    <w:rsid w:val="002E08CB"/>
    <w:rsid w:val="002E1DC5"/>
    <w:rsid w:val="002E282A"/>
    <w:rsid w:val="002E302E"/>
    <w:rsid w:val="002E30C8"/>
    <w:rsid w:val="002E44E0"/>
    <w:rsid w:val="002E56B4"/>
    <w:rsid w:val="002E611D"/>
    <w:rsid w:val="002E7C47"/>
    <w:rsid w:val="002F042B"/>
    <w:rsid w:val="002F0589"/>
    <w:rsid w:val="002F0F95"/>
    <w:rsid w:val="002F18F1"/>
    <w:rsid w:val="002F1C1F"/>
    <w:rsid w:val="002F2CF7"/>
    <w:rsid w:val="002F47F1"/>
    <w:rsid w:val="002F4E9C"/>
    <w:rsid w:val="002F5293"/>
    <w:rsid w:val="002F75C8"/>
    <w:rsid w:val="002F7AC7"/>
    <w:rsid w:val="00301603"/>
    <w:rsid w:val="003025FD"/>
    <w:rsid w:val="003029DB"/>
    <w:rsid w:val="00303845"/>
    <w:rsid w:val="0030633C"/>
    <w:rsid w:val="00306B57"/>
    <w:rsid w:val="00307365"/>
    <w:rsid w:val="00311BB3"/>
    <w:rsid w:val="003128A4"/>
    <w:rsid w:val="00316423"/>
    <w:rsid w:val="003172D5"/>
    <w:rsid w:val="00317EFF"/>
    <w:rsid w:val="00321685"/>
    <w:rsid w:val="0032308D"/>
    <w:rsid w:val="00323D6B"/>
    <w:rsid w:val="003243DC"/>
    <w:rsid w:val="00324717"/>
    <w:rsid w:val="003261D9"/>
    <w:rsid w:val="00326371"/>
    <w:rsid w:val="003278BA"/>
    <w:rsid w:val="00327D41"/>
    <w:rsid w:val="003307DA"/>
    <w:rsid w:val="00331571"/>
    <w:rsid w:val="00331B04"/>
    <w:rsid w:val="00333B7C"/>
    <w:rsid w:val="003360F7"/>
    <w:rsid w:val="00341014"/>
    <w:rsid w:val="003426F5"/>
    <w:rsid w:val="00343EAA"/>
    <w:rsid w:val="0034440C"/>
    <w:rsid w:val="00345230"/>
    <w:rsid w:val="003453D0"/>
    <w:rsid w:val="00345630"/>
    <w:rsid w:val="003507A8"/>
    <w:rsid w:val="00351888"/>
    <w:rsid w:val="0035343D"/>
    <w:rsid w:val="0035513E"/>
    <w:rsid w:val="00355831"/>
    <w:rsid w:val="00355BF3"/>
    <w:rsid w:val="00355FE8"/>
    <w:rsid w:val="0036198B"/>
    <w:rsid w:val="003620A9"/>
    <w:rsid w:val="003620F3"/>
    <w:rsid w:val="00362652"/>
    <w:rsid w:val="003635FB"/>
    <w:rsid w:val="00363717"/>
    <w:rsid w:val="00363925"/>
    <w:rsid w:val="00363FE0"/>
    <w:rsid w:val="003648AB"/>
    <w:rsid w:val="00364DEC"/>
    <w:rsid w:val="0036561D"/>
    <w:rsid w:val="00365FE4"/>
    <w:rsid w:val="00366EFA"/>
    <w:rsid w:val="003675BA"/>
    <w:rsid w:val="00367650"/>
    <w:rsid w:val="0037089D"/>
    <w:rsid w:val="003714BC"/>
    <w:rsid w:val="00371853"/>
    <w:rsid w:val="00373AB3"/>
    <w:rsid w:val="00373D25"/>
    <w:rsid w:val="003759BB"/>
    <w:rsid w:val="0037726F"/>
    <w:rsid w:val="00381B60"/>
    <w:rsid w:val="003823AD"/>
    <w:rsid w:val="00383268"/>
    <w:rsid w:val="00385373"/>
    <w:rsid w:val="00385D72"/>
    <w:rsid w:val="00386664"/>
    <w:rsid w:val="00387389"/>
    <w:rsid w:val="00387A75"/>
    <w:rsid w:val="00392289"/>
    <w:rsid w:val="0039343D"/>
    <w:rsid w:val="0039387A"/>
    <w:rsid w:val="003A0275"/>
    <w:rsid w:val="003A2050"/>
    <w:rsid w:val="003A3EE3"/>
    <w:rsid w:val="003A614B"/>
    <w:rsid w:val="003A6450"/>
    <w:rsid w:val="003B08E9"/>
    <w:rsid w:val="003B186A"/>
    <w:rsid w:val="003B2932"/>
    <w:rsid w:val="003B3486"/>
    <w:rsid w:val="003B5D40"/>
    <w:rsid w:val="003B71E1"/>
    <w:rsid w:val="003B749C"/>
    <w:rsid w:val="003B796C"/>
    <w:rsid w:val="003C0FCA"/>
    <w:rsid w:val="003C29F6"/>
    <w:rsid w:val="003C2DE5"/>
    <w:rsid w:val="003C64B9"/>
    <w:rsid w:val="003C7ADE"/>
    <w:rsid w:val="003D0565"/>
    <w:rsid w:val="003D09C7"/>
    <w:rsid w:val="003D17E4"/>
    <w:rsid w:val="003D508E"/>
    <w:rsid w:val="003D530D"/>
    <w:rsid w:val="003D57B7"/>
    <w:rsid w:val="003D6438"/>
    <w:rsid w:val="003D6CBC"/>
    <w:rsid w:val="003D6D42"/>
    <w:rsid w:val="003D75E8"/>
    <w:rsid w:val="003E31C9"/>
    <w:rsid w:val="003E3595"/>
    <w:rsid w:val="003E3BCD"/>
    <w:rsid w:val="003E50DB"/>
    <w:rsid w:val="003E5218"/>
    <w:rsid w:val="003E626B"/>
    <w:rsid w:val="003E725A"/>
    <w:rsid w:val="003E7D39"/>
    <w:rsid w:val="003F1860"/>
    <w:rsid w:val="003F331B"/>
    <w:rsid w:val="003F5086"/>
    <w:rsid w:val="003F5969"/>
    <w:rsid w:val="003F6103"/>
    <w:rsid w:val="003F6D7E"/>
    <w:rsid w:val="003F6FCE"/>
    <w:rsid w:val="003F7996"/>
    <w:rsid w:val="0040021C"/>
    <w:rsid w:val="00400DD8"/>
    <w:rsid w:val="0040196B"/>
    <w:rsid w:val="00402A71"/>
    <w:rsid w:val="00402DB0"/>
    <w:rsid w:val="00403E09"/>
    <w:rsid w:val="00405ECE"/>
    <w:rsid w:val="0040657D"/>
    <w:rsid w:val="004100D6"/>
    <w:rsid w:val="00411E1C"/>
    <w:rsid w:val="004134F0"/>
    <w:rsid w:val="00413DB0"/>
    <w:rsid w:val="00414B66"/>
    <w:rsid w:val="00414B94"/>
    <w:rsid w:val="00414C92"/>
    <w:rsid w:val="0041521E"/>
    <w:rsid w:val="00415E69"/>
    <w:rsid w:val="00416470"/>
    <w:rsid w:val="00420E55"/>
    <w:rsid w:val="00421A7E"/>
    <w:rsid w:val="004240E0"/>
    <w:rsid w:val="0042513D"/>
    <w:rsid w:val="004259EE"/>
    <w:rsid w:val="0042653A"/>
    <w:rsid w:val="00427EA7"/>
    <w:rsid w:val="00431697"/>
    <w:rsid w:val="00432DF5"/>
    <w:rsid w:val="004330CB"/>
    <w:rsid w:val="004336F2"/>
    <w:rsid w:val="0043528B"/>
    <w:rsid w:val="00436093"/>
    <w:rsid w:val="00436EE8"/>
    <w:rsid w:val="00440736"/>
    <w:rsid w:val="00440B7C"/>
    <w:rsid w:val="004411D6"/>
    <w:rsid w:val="00442461"/>
    <w:rsid w:val="00443F72"/>
    <w:rsid w:val="00445C80"/>
    <w:rsid w:val="00447267"/>
    <w:rsid w:val="004476F7"/>
    <w:rsid w:val="0045004E"/>
    <w:rsid w:val="004507DE"/>
    <w:rsid w:val="00450DEC"/>
    <w:rsid w:val="0045235C"/>
    <w:rsid w:val="00453213"/>
    <w:rsid w:val="00453F60"/>
    <w:rsid w:val="00455A70"/>
    <w:rsid w:val="00455C2C"/>
    <w:rsid w:val="00460013"/>
    <w:rsid w:val="00462E36"/>
    <w:rsid w:val="00464357"/>
    <w:rsid w:val="004701C4"/>
    <w:rsid w:val="004704CB"/>
    <w:rsid w:val="00470AD2"/>
    <w:rsid w:val="004729F1"/>
    <w:rsid w:val="004749B3"/>
    <w:rsid w:val="00475BD2"/>
    <w:rsid w:val="00477024"/>
    <w:rsid w:val="00480631"/>
    <w:rsid w:val="00482999"/>
    <w:rsid w:val="004842C9"/>
    <w:rsid w:val="0048556F"/>
    <w:rsid w:val="004857C5"/>
    <w:rsid w:val="00486944"/>
    <w:rsid w:val="00487AD6"/>
    <w:rsid w:val="00490B7E"/>
    <w:rsid w:val="00490FDD"/>
    <w:rsid w:val="004921C1"/>
    <w:rsid w:val="00492767"/>
    <w:rsid w:val="00493025"/>
    <w:rsid w:val="004938B6"/>
    <w:rsid w:val="004946AC"/>
    <w:rsid w:val="00494B40"/>
    <w:rsid w:val="00494C0F"/>
    <w:rsid w:val="00496B32"/>
    <w:rsid w:val="00497963"/>
    <w:rsid w:val="004A1B9D"/>
    <w:rsid w:val="004A3384"/>
    <w:rsid w:val="004A5645"/>
    <w:rsid w:val="004A603B"/>
    <w:rsid w:val="004A7C6C"/>
    <w:rsid w:val="004B1419"/>
    <w:rsid w:val="004B1884"/>
    <w:rsid w:val="004B2505"/>
    <w:rsid w:val="004B25C0"/>
    <w:rsid w:val="004B328C"/>
    <w:rsid w:val="004B4C1E"/>
    <w:rsid w:val="004B6B3C"/>
    <w:rsid w:val="004B7C6A"/>
    <w:rsid w:val="004C0466"/>
    <w:rsid w:val="004C0828"/>
    <w:rsid w:val="004C0871"/>
    <w:rsid w:val="004C11EE"/>
    <w:rsid w:val="004C1405"/>
    <w:rsid w:val="004C1BEA"/>
    <w:rsid w:val="004C3CFB"/>
    <w:rsid w:val="004C4F2F"/>
    <w:rsid w:val="004C57A3"/>
    <w:rsid w:val="004C71C6"/>
    <w:rsid w:val="004C71D0"/>
    <w:rsid w:val="004C761E"/>
    <w:rsid w:val="004D0000"/>
    <w:rsid w:val="004D3D80"/>
    <w:rsid w:val="004D472F"/>
    <w:rsid w:val="004D4801"/>
    <w:rsid w:val="004D4984"/>
    <w:rsid w:val="004D51B5"/>
    <w:rsid w:val="004D5241"/>
    <w:rsid w:val="004D5A8C"/>
    <w:rsid w:val="004D6F45"/>
    <w:rsid w:val="004E04F6"/>
    <w:rsid w:val="004E0EA5"/>
    <w:rsid w:val="004E0F69"/>
    <w:rsid w:val="004E1687"/>
    <w:rsid w:val="004E1CD2"/>
    <w:rsid w:val="004E2BE2"/>
    <w:rsid w:val="004E3080"/>
    <w:rsid w:val="004E4D27"/>
    <w:rsid w:val="004E52FF"/>
    <w:rsid w:val="004E5AE7"/>
    <w:rsid w:val="004E6334"/>
    <w:rsid w:val="004F04BA"/>
    <w:rsid w:val="004F3D35"/>
    <w:rsid w:val="00500717"/>
    <w:rsid w:val="005024D0"/>
    <w:rsid w:val="0050494E"/>
    <w:rsid w:val="00505067"/>
    <w:rsid w:val="005066E7"/>
    <w:rsid w:val="00511C10"/>
    <w:rsid w:val="005120E5"/>
    <w:rsid w:val="0051282A"/>
    <w:rsid w:val="00513AB2"/>
    <w:rsid w:val="00515418"/>
    <w:rsid w:val="00515FBD"/>
    <w:rsid w:val="00516405"/>
    <w:rsid w:val="005172CD"/>
    <w:rsid w:val="00517E3D"/>
    <w:rsid w:val="00517FDA"/>
    <w:rsid w:val="00520196"/>
    <w:rsid w:val="005205E5"/>
    <w:rsid w:val="00521008"/>
    <w:rsid w:val="00521531"/>
    <w:rsid w:val="005216D0"/>
    <w:rsid w:val="0052172B"/>
    <w:rsid w:val="00521859"/>
    <w:rsid w:val="00521A69"/>
    <w:rsid w:val="00521E8B"/>
    <w:rsid w:val="00522FD5"/>
    <w:rsid w:val="00525125"/>
    <w:rsid w:val="005255A5"/>
    <w:rsid w:val="00525970"/>
    <w:rsid w:val="00525E59"/>
    <w:rsid w:val="00526451"/>
    <w:rsid w:val="00526676"/>
    <w:rsid w:val="005270C6"/>
    <w:rsid w:val="005276EC"/>
    <w:rsid w:val="00527D5C"/>
    <w:rsid w:val="00527F21"/>
    <w:rsid w:val="00531F95"/>
    <w:rsid w:val="00533938"/>
    <w:rsid w:val="00534153"/>
    <w:rsid w:val="00535BCF"/>
    <w:rsid w:val="005360B0"/>
    <w:rsid w:val="00536118"/>
    <w:rsid w:val="005404BE"/>
    <w:rsid w:val="005409BF"/>
    <w:rsid w:val="00540ABC"/>
    <w:rsid w:val="0054104B"/>
    <w:rsid w:val="00542EE0"/>
    <w:rsid w:val="00542EF9"/>
    <w:rsid w:val="00543592"/>
    <w:rsid w:val="0054363B"/>
    <w:rsid w:val="0054407D"/>
    <w:rsid w:val="0054559D"/>
    <w:rsid w:val="00547447"/>
    <w:rsid w:val="00547EF5"/>
    <w:rsid w:val="00550AF0"/>
    <w:rsid w:val="00552083"/>
    <w:rsid w:val="00552A58"/>
    <w:rsid w:val="00553DEA"/>
    <w:rsid w:val="005550F1"/>
    <w:rsid w:val="0055534B"/>
    <w:rsid w:val="00555798"/>
    <w:rsid w:val="00556343"/>
    <w:rsid w:val="00556DFA"/>
    <w:rsid w:val="005603EB"/>
    <w:rsid w:val="00561534"/>
    <w:rsid w:val="005640F7"/>
    <w:rsid w:val="0056514D"/>
    <w:rsid w:val="005654C1"/>
    <w:rsid w:val="005654D8"/>
    <w:rsid w:val="005666C7"/>
    <w:rsid w:val="00567372"/>
    <w:rsid w:val="00570DD4"/>
    <w:rsid w:val="00571407"/>
    <w:rsid w:val="00571FC1"/>
    <w:rsid w:val="0057255D"/>
    <w:rsid w:val="00573FAD"/>
    <w:rsid w:val="00574D9F"/>
    <w:rsid w:val="00576213"/>
    <w:rsid w:val="00576D33"/>
    <w:rsid w:val="00576FC5"/>
    <w:rsid w:val="00580BD4"/>
    <w:rsid w:val="005826A7"/>
    <w:rsid w:val="00584CA7"/>
    <w:rsid w:val="005853E5"/>
    <w:rsid w:val="00586265"/>
    <w:rsid w:val="00586DD4"/>
    <w:rsid w:val="00590F33"/>
    <w:rsid w:val="005932CB"/>
    <w:rsid w:val="00593CA7"/>
    <w:rsid w:val="0059421D"/>
    <w:rsid w:val="00594368"/>
    <w:rsid w:val="00595ED9"/>
    <w:rsid w:val="005976EE"/>
    <w:rsid w:val="00597CF5"/>
    <w:rsid w:val="005A0B52"/>
    <w:rsid w:val="005A203D"/>
    <w:rsid w:val="005A22EB"/>
    <w:rsid w:val="005A2BB4"/>
    <w:rsid w:val="005A41C1"/>
    <w:rsid w:val="005A4403"/>
    <w:rsid w:val="005A4466"/>
    <w:rsid w:val="005A5003"/>
    <w:rsid w:val="005A6462"/>
    <w:rsid w:val="005A7F81"/>
    <w:rsid w:val="005B026D"/>
    <w:rsid w:val="005B0C08"/>
    <w:rsid w:val="005B0E47"/>
    <w:rsid w:val="005B15E0"/>
    <w:rsid w:val="005B384B"/>
    <w:rsid w:val="005B3990"/>
    <w:rsid w:val="005B50FC"/>
    <w:rsid w:val="005B6058"/>
    <w:rsid w:val="005C03E2"/>
    <w:rsid w:val="005C1661"/>
    <w:rsid w:val="005C1E98"/>
    <w:rsid w:val="005C2965"/>
    <w:rsid w:val="005C3EBE"/>
    <w:rsid w:val="005C4CD0"/>
    <w:rsid w:val="005C5DD9"/>
    <w:rsid w:val="005C613E"/>
    <w:rsid w:val="005C717E"/>
    <w:rsid w:val="005D0215"/>
    <w:rsid w:val="005D1152"/>
    <w:rsid w:val="005D1BD1"/>
    <w:rsid w:val="005D250B"/>
    <w:rsid w:val="005D41CE"/>
    <w:rsid w:val="005D543E"/>
    <w:rsid w:val="005D5D28"/>
    <w:rsid w:val="005D7967"/>
    <w:rsid w:val="005E095B"/>
    <w:rsid w:val="005E1857"/>
    <w:rsid w:val="005E2D7C"/>
    <w:rsid w:val="005E4619"/>
    <w:rsid w:val="005E4CF3"/>
    <w:rsid w:val="005E5066"/>
    <w:rsid w:val="005E5515"/>
    <w:rsid w:val="005E59BD"/>
    <w:rsid w:val="005E7491"/>
    <w:rsid w:val="005F09CF"/>
    <w:rsid w:val="005F0E4D"/>
    <w:rsid w:val="005F3027"/>
    <w:rsid w:val="005F3F57"/>
    <w:rsid w:val="005F50BF"/>
    <w:rsid w:val="005F73F2"/>
    <w:rsid w:val="00602E19"/>
    <w:rsid w:val="00605354"/>
    <w:rsid w:val="006055D5"/>
    <w:rsid w:val="006057DE"/>
    <w:rsid w:val="00605BD3"/>
    <w:rsid w:val="0060666C"/>
    <w:rsid w:val="00610964"/>
    <w:rsid w:val="00612C32"/>
    <w:rsid w:val="00613C71"/>
    <w:rsid w:val="00614D0A"/>
    <w:rsid w:val="006164A1"/>
    <w:rsid w:val="00620676"/>
    <w:rsid w:val="006209A6"/>
    <w:rsid w:val="00622DEF"/>
    <w:rsid w:val="00623A7F"/>
    <w:rsid w:val="00625FBE"/>
    <w:rsid w:val="006262F5"/>
    <w:rsid w:val="006279FC"/>
    <w:rsid w:val="00631955"/>
    <w:rsid w:val="00631A90"/>
    <w:rsid w:val="006335BA"/>
    <w:rsid w:val="00633F07"/>
    <w:rsid w:val="00634414"/>
    <w:rsid w:val="006347AC"/>
    <w:rsid w:val="0063573E"/>
    <w:rsid w:val="006404D6"/>
    <w:rsid w:val="00642175"/>
    <w:rsid w:val="00642AFC"/>
    <w:rsid w:val="0064399A"/>
    <w:rsid w:val="00647B58"/>
    <w:rsid w:val="00647E1E"/>
    <w:rsid w:val="006506E6"/>
    <w:rsid w:val="006515CF"/>
    <w:rsid w:val="006533C0"/>
    <w:rsid w:val="006536A0"/>
    <w:rsid w:val="006548ED"/>
    <w:rsid w:val="00654FB3"/>
    <w:rsid w:val="00657AE4"/>
    <w:rsid w:val="00661746"/>
    <w:rsid w:val="00661AD3"/>
    <w:rsid w:val="00663081"/>
    <w:rsid w:val="006634A3"/>
    <w:rsid w:val="00663513"/>
    <w:rsid w:val="00664087"/>
    <w:rsid w:val="00664462"/>
    <w:rsid w:val="00664A90"/>
    <w:rsid w:val="0066504E"/>
    <w:rsid w:val="00665D0F"/>
    <w:rsid w:val="00667F1B"/>
    <w:rsid w:val="00671399"/>
    <w:rsid w:val="006718EB"/>
    <w:rsid w:val="00672A7C"/>
    <w:rsid w:val="0067415C"/>
    <w:rsid w:val="00674E7E"/>
    <w:rsid w:val="00674F02"/>
    <w:rsid w:val="00676A4B"/>
    <w:rsid w:val="00676D77"/>
    <w:rsid w:val="0067701E"/>
    <w:rsid w:val="00681139"/>
    <w:rsid w:val="00682839"/>
    <w:rsid w:val="00683593"/>
    <w:rsid w:val="0068476A"/>
    <w:rsid w:val="006856F9"/>
    <w:rsid w:val="00686A30"/>
    <w:rsid w:val="00690AEF"/>
    <w:rsid w:val="00693F6C"/>
    <w:rsid w:val="0069457C"/>
    <w:rsid w:val="006951DB"/>
    <w:rsid w:val="00697EA9"/>
    <w:rsid w:val="006A06F0"/>
    <w:rsid w:val="006A17A6"/>
    <w:rsid w:val="006A213E"/>
    <w:rsid w:val="006A3943"/>
    <w:rsid w:val="006A3D74"/>
    <w:rsid w:val="006A6D6C"/>
    <w:rsid w:val="006B15BB"/>
    <w:rsid w:val="006B46E5"/>
    <w:rsid w:val="006B6A89"/>
    <w:rsid w:val="006B6FE0"/>
    <w:rsid w:val="006B701F"/>
    <w:rsid w:val="006C02A5"/>
    <w:rsid w:val="006C1294"/>
    <w:rsid w:val="006C2FDC"/>
    <w:rsid w:val="006C5BFF"/>
    <w:rsid w:val="006C5CA3"/>
    <w:rsid w:val="006C63E2"/>
    <w:rsid w:val="006C6E34"/>
    <w:rsid w:val="006D17A4"/>
    <w:rsid w:val="006D180B"/>
    <w:rsid w:val="006D26A7"/>
    <w:rsid w:val="006D2DA8"/>
    <w:rsid w:val="006D335E"/>
    <w:rsid w:val="006D3AFA"/>
    <w:rsid w:val="006D4F93"/>
    <w:rsid w:val="006D5771"/>
    <w:rsid w:val="006D6876"/>
    <w:rsid w:val="006D782F"/>
    <w:rsid w:val="006E0A92"/>
    <w:rsid w:val="006E28F7"/>
    <w:rsid w:val="006E2E4F"/>
    <w:rsid w:val="006E30A3"/>
    <w:rsid w:val="006E31B1"/>
    <w:rsid w:val="006E42A9"/>
    <w:rsid w:val="006E5C3D"/>
    <w:rsid w:val="006E5EB1"/>
    <w:rsid w:val="006E6214"/>
    <w:rsid w:val="006F0275"/>
    <w:rsid w:val="006F0E78"/>
    <w:rsid w:val="006F1D1D"/>
    <w:rsid w:val="006F39AF"/>
    <w:rsid w:val="006F3F8D"/>
    <w:rsid w:val="006F58F2"/>
    <w:rsid w:val="006F5AD4"/>
    <w:rsid w:val="006F6734"/>
    <w:rsid w:val="006F6CB4"/>
    <w:rsid w:val="006F74C2"/>
    <w:rsid w:val="006F7B0D"/>
    <w:rsid w:val="00700011"/>
    <w:rsid w:val="007001A6"/>
    <w:rsid w:val="00700AE6"/>
    <w:rsid w:val="00702184"/>
    <w:rsid w:val="007027F0"/>
    <w:rsid w:val="00705778"/>
    <w:rsid w:val="007063B7"/>
    <w:rsid w:val="0071033D"/>
    <w:rsid w:val="00711905"/>
    <w:rsid w:val="007138D4"/>
    <w:rsid w:val="00716C42"/>
    <w:rsid w:val="00717201"/>
    <w:rsid w:val="00720649"/>
    <w:rsid w:val="00720738"/>
    <w:rsid w:val="007213E9"/>
    <w:rsid w:val="00721771"/>
    <w:rsid w:val="00722622"/>
    <w:rsid w:val="00725FF4"/>
    <w:rsid w:val="0072629D"/>
    <w:rsid w:val="0072789E"/>
    <w:rsid w:val="00731AFC"/>
    <w:rsid w:val="00731ED0"/>
    <w:rsid w:val="007326CC"/>
    <w:rsid w:val="007338AB"/>
    <w:rsid w:val="00734779"/>
    <w:rsid w:val="00734CCC"/>
    <w:rsid w:val="00736688"/>
    <w:rsid w:val="007406C2"/>
    <w:rsid w:val="0074075B"/>
    <w:rsid w:val="0074112A"/>
    <w:rsid w:val="00741E61"/>
    <w:rsid w:val="00742F35"/>
    <w:rsid w:val="007433E9"/>
    <w:rsid w:val="0074440D"/>
    <w:rsid w:val="0074476D"/>
    <w:rsid w:val="00744BB3"/>
    <w:rsid w:val="00744C5C"/>
    <w:rsid w:val="00745450"/>
    <w:rsid w:val="0074634E"/>
    <w:rsid w:val="00746835"/>
    <w:rsid w:val="00750DB8"/>
    <w:rsid w:val="007510E7"/>
    <w:rsid w:val="007524A5"/>
    <w:rsid w:val="00753B65"/>
    <w:rsid w:val="00753D9B"/>
    <w:rsid w:val="00754628"/>
    <w:rsid w:val="007559D0"/>
    <w:rsid w:val="00755CAD"/>
    <w:rsid w:val="00755E45"/>
    <w:rsid w:val="00756730"/>
    <w:rsid w:val="007574FA"/>
    <w:rsid w:val="007577AF"/>
    <w:rsid w:val="007578B7"/>
    <w:rsid w:val="007605A0"/>
    <w:rsid w:val="0076082F"/>
    <w:rsid w:val="00760E38"/>
    <w:rsid w:val="007621DE"/>
    <w:rsid w:val="00763A06"/>
    <w:rsid w:val="007653FB"/>
    <w:rsid w:val="00765762"/>
    <w:rsid w:val="00767A38"/>
    <w:rsid w:val="0077018A"/>
    <w:rsid w:val="00770B03"/>
    <w:rsid w:val="00771BF2"/>
    <w:rsid w:val="00772507"/>
    <w:rsid w:val="00772843"/>
    <w:rsid w:val="00775315"/>
    <w:rsid w:val="00776801"/>
    <w:rsid w:val="00777EF9"/>
    <w:rsid w:val="007804F7"/>
    <w:rsid w:val="0078088C"/>
    <w:rsid w:val="00781681"/>
    <w:rsid w:val="00781AAC"/>
    <w:rsid w:val="00782510"/>
    <w:rsid w:val="00784D9B"/>
    <w:rsid w:val="00784FB0"/>
    <w:rsid w:val="00786ABA"/>
    <w:rsid w:val="0078716A"/>
    <w:rsid w:val="00790281"/>
    <w:rsid w:val="00790630"/>
    <w:rsid w:val="0079364B"/>
    <w:rsid w:val="00793E7C"/>
    <w:rsid w:val="00795090"/>
    <w:rsid w:val="00797F43"/>
    <w:rsid w:val="007A2151"/>
    <w:rsid w:val="007A3D11"/>
    <w:rsid w:val="007A5327"/>
    <w:rsid w:val="007A5B36"/>
    <w:rsid w:val="007A60E3"/>
    <w:rsid w:val="007A6CB2"/>
    <w:rsid w:val="007A755B"/>
    <w:rsid w:val="007A790E"/>
    <w:rsid w:val="007B183D"/>
    <w:rsid w:val="007B6298"/>
    <w:rsid w:val="007B6DE2"/>
    <w:rsid w:val="007B6E83"/>
    <w:rsid w:val="007C0394"/>
    <w:rsid w:val="007C0550"/>
    <w:rsid w:val="007C4931"/>
    <w:rsid w:val="007C5592"/>
    <w:rsid w:val="007D1EF0"/>
    <w:rsid w:val="007D25A2"/>
    <w:rsid w:val="007D26A0"/>
    <w:rsid w:val="007D2906"/>
    <w:rsid w:val="007D2A97"/>
    <w:rsid w:val="007D4D12"/>
    <w:rsid w:val="007E2031"/>
    <w:rsid w:val="007E2F92"/>
    <w:rsid w:val="007E5D4B"/>
    <w:rsid w:val="007E6032"/>
    <w:rsid w:val="007E6C4A"/>
    <w:rsid w:val="007F178E"/>
    <w:rsid w:val="007F1A70"/>
    <w:rsid w:val="007F1D6B"/>
    <w:rsid w:val="007F3F26"/>
    <w:rsid w:val="007F4A5C"/>
    <w:rsid w:val="007F4E46"/>
    <w:rsid w:val="007F512F"/>
    <w:rsid w:val="007F528A"/>
    <w:rsid w:val="007F53C9"/>
    <w:rsid w:val="007F599E"/>
    <w:rsid w:val="007F683F"/>
    <w:rsid w:val="007F6BC9"/>
    <w:rsid w:val="007F6E8B"/>
    <w:rsid w:val="007F70EF"/>
    <w:rsid w:val="00800533"/>
    <w:rsid w:val="008033E9"/>
    <w:rsid w:val="00804FC6"/>
    <w:rsid w:val="0080535C"/>
    <w:rsid w:val="00805A0E"/>
    <w:rsid w:val="00810A45"/>
    <w:rsid w:val="00813963"/>
    <w:rsid w:val="00814012"/>
    <w:rsid w:val="008154A9"/>
    <w:rsid w:val="00817EE7"/>
    <w:rsid w:val="00822CA5"/>
    <w:rsid w:val="00824B54"/>
    <w:rsid w:val="00825079"/>
    <w:rsid w:val="008250EC"/>
    <w:rsid w:val="008253F0"/>
    <w:rsid w:val="00825FD4"/>
    <w:rsid w:val="0082608D"/>
    <w:rsid w:val="00827BB1"/>
    <w:rsid w:val="00831286"/>
    <w:rsid w:val="00831890"/>
    <w:rsid w:val="0083248D"/>
    <w:rsid w:val="00832D69"/>
    <w:rsid w:val="0083356A"/>
    <w:rsid w:val="00835907"/>
    <w:rsid w:val="00836D8B"/>
    <w:rsid w:val="008375D5"/>
    <w:rsid w:val="00837A21"/>
    <w:rsid w:val="0084274F"/>
    <w:rsid w:val="00842D23"/>
    <w:rsid w:val="00843EB5"/>
    <w:rsid w:val="00844A4B"/>
    <w:rsid w:val="00846BB0"/>
    <w:rsid w:val="008514AE"/>
    <w:rsid w:val="00851D18"/>
    <w:rsid w:val="00851F02"/>
    <w:rsid w:val="00852FB8"/>
    <w:rsid w:val="008574A7"/>
    <w:rsid w:val="008640F0"/>
    <w:rsid w:val="008651FB"/>
    <w:rsid w:val="008653E4"/>
    <w:rsid w:val="008666FB"/>
    <w:rsid w:val="00867061"/>
    <w:rsid w:val="008702FA"/>
    <w:rsid w:val="008726E4"/>
    <w:rsid w:val="008749B9"/>
    <w:rsid w:val="0087503C"/>
    <w:rsid w:val="008756A9"/>
    <w:rsid w:val="00881275"/>
    <w:rsid w:val="00881EBE"/>
    <w:rsid w:val="00885735"/>
    <w:rsid w:val="00886071"/>
    <w:rsid w:val="008862DF"/>
    <w:rsid w:val="00887169"/>
    <w:rsid w:val="008908FB"/>
    <w:rsid w:val="00890BDA"/>
    <w:rsid w:val="00892168"/>
    <w:rsid w:val="00892B9C"/>
    <w:rsid w:val="00893641"/>
    <w:rsid w:val="00895BA8"/>
    <w:rsid w:val="00895E15"/>
    <w:rsid w:val="0089659A"/>
    <w:rsid w:val="008967E8"/>
    <w:rsid w:val="00897243"/>
    <w:rsid w:val="008A034E"/>
    <w:rsid w:val="008A13D7"/>
    <w:rsid w:val="008A1E8B"/>
    <w:rsid w:val="008A376E"/>
    <w:rsid w:val="008A3D35"/>
    <w:rsid w:val="008A4A3C"/>
    <w:rsid w:val="008A515F"/>
    <w:rsid w:val="008A5340"/>
    <w:rsid w:val="008A56DA"/>
    <w:rsid w:val="008A59CE"/>
    <w:rsid w:val="008A667E"/>
    <w:rsid w:val="008A7997"/>
    <w:rsid w:val="008B043A"/>
    <w:rsid w:val="008B0600"/>
    <w:rsid w:val="008B370D"/>
    <w:rsid w:val="008B3A2D"/>
    <w:rsid w:val="008B4EE8"/>
    <w:rsid w:val="008B51AD"/>
    <w:rsid w:val="008B69BE"/>
    <w:rsid w:val="008B776D"/>
    <w:rsid w:val="008C0B3B"/>
    <w:rsid w:val="008C0B75"/>
    <w:rsid w:val="008C0DA2"/>
    <w:rsid w:val="008C2843"/>
    <w:rsid w:val="008C569E"/>
    <w:rsid w:val="008C688C"/>
    <w:rsid w:val="008C6BD1"/>
    <w:rsid w:val="008D0644"/>
    <w:rsid w:val="008D0DB5"/>
    <w:rsid w:val="008D14DA"/>
    <w:rsid w:val="008D3ABE"/>
    <w:rsid w:val="008D3EF1"/>
    <w:rsid w:val="008D53EE"/>
    <w:rsid w:val="008E0921"/>
    <w:rsid w:val="008E2A9C"/>
    <w:rsid w:val="008E2C57"/>
    <w:rsid w:val="008E36DA"/>
    <w:rsid w:val="008E3C18"/>
    <w:rsid w:val="008E4239"/>
    <w:rsid w:val="008E4B33"/>
    <w:rsid w:val="008E4BD2"/>
    <w:rsid w:val="008E52BD"/>
    <w:rsid w:val="008E6778"/>
    <w:rsid w:val="008F1DD9"/>
    <w:rsid w:val="008F2F83"/>
    <w:rsid w:val="008F39BE"/>
    <w:rsid w:val="008F4FC5"/>
    <w:rsid w:val="008F6D98"/>
    <w:rsid w:val="008F7DB9"/>
    <w:rsid w:val="00900407"/>
    <w:rsid w:val="00900747"/>
    <w:rsid w:val="009032C4"/>
    <w:rsid w:val="00903D86"/>
    <w:rsid w:val="00904342"/>
    <w:rsid w:val="00905422"/>
    <w:rsid w:val="00905D86"/>
    <w:rsid w:val="009063A2"/>
    <w:rsid w:val="00910095"/>
    <w:rsid w:val="0091090D"/>
    <w:rsid w:val="0091193B"/>
    <w:rsid w:val="00914165"/>
    <w:rsid w:val="00917703"/>
    <w:rsid w:val="00920116"/>
    <w:rsid w:val="009207BD"/>
    <w:rsid w:val="00921066"/>
    <w:rsid w:val="00924533"/>
    <w:rsid w:val="00924CD9"/>
    <w:rsid w:val="00925260"/>
    <w:rsid w:val="00931B9D"/>
    <w:rsid w:val="00933499"/>
    <w:rsid w:val="0093387D"/>
    <w:rsid w:val="00933E3E"/>
    <w:rsid w:val="0093412F"/>
    <w:rsid w:val="00934CC9"/>
    <w:rsid w:val="00934FB8"/>
    <w:rsid w:val="00935123"/>
    <w:rsid w:val="00935E3D"/>
    <w:rsid w:val="0093649D"/>
    <w:rsid w:val="009364D1"/>
    <w:rsid w:val="00936FA3"/>
    <w:rsid w:val="00937D9E"/>
    <w:rsid w:val="00940AD5"/>
    <w:rsid w:val="00940B2B"/>
    <w:rsid w:val="00941ED7"/>
    <w:rsid w:val="00945752"/>
    <w:rsid w:val="00946CA3"/>
    <w:rsid w:val="0094702E"/>
    <w:rsid w:val="00952C92"/>
    <w:rsid w:val="00952C9A"/>
    <w:rsid w:val="00953120"/>
    <w:rsid w:val="009532A5"/>
    <w:rsid w:val="00953510"/>
    <w:rsid w:val="0095523C"/>
    <w:rsid w:val="009552B1"/>
    <w:rsid w:val="00955328"/>
    <w:rsid w:val="00956A76"/>
    <w:rsid w:val="009570B5"/>
    <w:rsid w:val="00963F24"/>
    <w:rsid w:val="00965F31"/>
    <w:rsid w:val="00967106"/>
    <w:rsid w:val="009677A4"/>
    <w:rsid w:val="00971735"/>
    <w:rsid w:val="00972F47"/>
    <w:rsid w:val="00972FB6"/>
    <w:rsid w:val="00973C1F"/>
    <w:rsid w:val="00976B1A"/>
    <w:rsid w:val="0097721B"/>
    <w:rsid w:val="00980DB8"/>
    <w:rsid w:val="00981A03"/>
    <w:rsid w:val="00981E14"/>
    <w:rsid w:val="00983776"/>
    <w:rsid w:val="00983F03"/>
    <w:rsid w:val="00984284"/>
    <w:rsid w:val="009846B1"/>
    <w:rsid w:val="0098516B"/>
    <w:rsid w:val="00992045"/>
    <w:rsid w:val="00992330"/>
    <w:rsid w:val="00992AAE"/>
    <w:rsid w:val="00992C25"/>
    <w:rsid w:val="0099502C"/>
    <w:rsid w:val="00995058"/>
    <w:rsid w:val="00995970"/>
    <w:rsid w:val="009974AA"/>
    <w:rsid w:val="009A04D6"/>
    <w:rsid w:val="009A0BAD"/>
    <w:rsid w:val="009A182A"/>
    <w:rsid w:val="009A2DB6"/>
    <w:rsid w:val="009A41EB"/>
    <w:rsid w:val="009B0048"/>
    <w:rsid w:val="009B0ED2"/>
    <w:rsid w:val="009B37F6"/>
    <w:rsid w:val="009B4558"/>
    <w:rsid w:val="009B562C"/>
    <w:rsid w:val="009B7677"/>
    <w:rsid w:val="009C0606"/>
    <w:rsid w:val="009C160F"/>
    <w:rsid w:val="009C2A54"/>
    <w:rsid w:val="009C566E"/>
    <w:rsid w:val="009C5792"/>
    <w:rsid w:val="009D3423"/>
    <w:rsid w:val="009D6CB3"/>
    <w:rsid w:val="009D76B7"/>
    <w:rsid w:val="009E3BC4"/>
    <w:rsid w:val="009E4017"/>
    <w:rsid w:val="009E519D"/>
    <w:rsid w:val="009E62AE"/>
    <w:rsid w:val="009E67B7"/>
    <w:rsid w:val="009E6A4E"/>
    <w:rsid w:val="009E6C65"/>
    <w:rsid w:val="009E6D42"/>
    <w:rsid w:val="009F2284"/>
    <w:rsid w:val="009F4EE5"/>
    <w:rsid w:val="009F5AEB"/>
    <w:rsid w:val="009F63E9"/>
    <w:rsid w:val="00A00955"/>
    <w:rsid w:val="00A009C8"/>
    <w:rsid w:val="00A00BF1"/>
    <w:rsid w:val="00A02474"/>
    <w:rsid w:val="00A03016"/>
    <w:rsid w:val="00A03395"/>
    <w:rsid w:val="00A03446"/>
    <w:rsid w:val="00A04B08"/>
    <w:rsid w:val="00A051C7"/>
    <w:rsid w:val="00A06313"/>
    <w:rsid w:val="00A06A45"/>
    <w:rsid w:val="00A06D9B"/>
    <w:rsid w:val="00A0709B"/>
    <w:rsid w:val="00A07DB5"/>
    <w:rsid w:val="00A10525"/>
    <w:rsid w:val="00A12D3F"/>
    <w:rsid w:val="00A1303D"/>
    <w:rsid w:val="00A14DA3"/>
    <w:rsid w:val="00A14F07"/>
    <w:rsid w:val="00A15112"/>
    <w:rsid w:val="00A15927"/>
    <w:rsid w:val="00A21A4F"/>
    <w:rsid w:val="00A223FA"/>
    <w:rsid w:val="00A23660"/>
    <w:rsid w:val="00A25983"/>
    <w:rsid w:val="00A26A15"/>
    <w:rsid w:val="00A26AD6"/>
    <w:rsid w:val="00A2722C"/>
    <w:rsid w:val="00A30799"/>
    <w:rsid w:val="00A308FE"/>
    <w:rsid w:val="00A3132E"/>
    <w:rsid w:val="00A316BE"/>
    <w:rsid w:val="00A341EA"/>
    <w:rsid w:val="00A354F7"/>
    <w:rsid w:val="00A35B6B"/>
    <w:rsid w:val="00A36C22"/>
    <w:rsid w:val="00A36C5F"/>
    <w:rsid w:val="00A36F2E"/>
    <w:rsid w:val="00A37D8C"/>
    <w:rsid w:val="00A4021E"/>
    <w:rsid w:val="00A40C79"/>
    <w:rsid w:val="00A413EA"/>
    <w:rsid w:val="00A414C1"/>
    <w:rsid w:val="00A41ED1"/>
    <w:rsid w:val="00A44781"/>
    <w:rsid w:val="00A461D2"/>
    <w:rsid w:val="00A4679A"/>
    <w:rsid w:val="00A50E2E"/>
    <w:rsid w:val="00A50EE5"/>
    <w:rsid w:val="00A53831"/>
    <w:rsid w:val="00A54461"/>
    <w:rsid w:val="00A550F5"/>
    <w:rsid w:val="00A55BF4"/>
    <w:rsid w:val="00A55D91"/>
    <w:rsid w:val="00A561B2"/>
    <w:rsid w:val="00A5675C"/>
    <w:rsid w:val="00A571CA"/>
    <w:rsid w:val="00A572E6"/>
    <w:rsid w:val="00A5751D"/>
    <w:rsid w:val="00A60CAA"/>
    <w:rsid w:val="00A60F8B"/>
    <w:rsid w:val="00A6702E"/>
    <w:rsid w:val="00A67878"/>
    <w:rsid w:val="00A67CB1"/>
    <w:rsid w:val="00A7098F"/>
    <w:rsid w:val="00A72D4D"/>
    <w:rsid w:val="00A72EDF"/>
    <w:rsid w:val="00A74553"/>
    <w:rsid w:val="00A75644"/>
    <w:rsid w:val="00A76449"/>
    <w:rsid w:val="00A767EB"/>
    <w:rsid w:val="00A77051"/>
    <w:rsid w:val="00A77648"/>
    <w:rsid w:val="00A77C5C"/>
    <w:rsid w:val="00A8110F"/>
    <w:rsid w:val="00A81E87"/>
    <w:rsid w:val="00A821A8"/>
    <w:rsid w:val="00A836FA"/>
    <w:rsid w:val="00A83DA1"/>
    <w:rsid w:val="00A83F5C"/>
    <w:rsid w:val="00A85740"/>
    <w:rsid w:val="00A864F8"/>
    <w:rsid w:val="00A87253"/>
    <w:rsid w:val="00A9033A"/>
    <w:rsid w:val="00A90FFA"/>
    <w:rsid w:val="00A9284F"/>
    <w:rsid w:val="00A92F9A"/>
    <w:rsid w:val="00A93734"/>
    <w:rsid w:val="00A94BF8"/>
    <w:rsid w:val="00A95A52"/>
    <w:rsid w:val="00A95AB5"/>
    <w:rsid w:val="00A9752C"/>
    <w:rsid w:val="00A97DDB"/>
    <w:rsid w:val="00A97E3A"/>
    <w:rsid w:val="00AA0710"/>
    <w:rsid w:val="00AA0918"/>
    <w:rsid w:val="00AA1676"/>
    <w:rsid w:val="00AA1830"/>
    <w:rsid w:val="00AA1C55"/>
    <w:rsid w:val="00AA317E"/>
    <w:rsid w:val="00AA47A7"/>
    <w:rsid w:val="00AA4831"/>
    <w:rsid w:val="00AA52CB"/>
    <w:rsid w:val="00AA5914"/>
    <w:rsid w:val="00AA6E4D"/>
    <w:rsid w:val="00AA733F"/>
    <w:rsid w:val="00AA7CCB"/>
    <w:rsid w:val="00AB0728"/>
    <w:rsid w:val="00AB2226"/>
    <w:rsid w:val="00AB2354"/>
    <w:rsid w:val="00AB2AC3"/>
    <w:rsid w:val="00AB2FB1"/>
    <w:rsid w:val="00AB339C"/>
    <w:rsid w:val="00AB5FF0"/>
    <w:rsid w:val="00AB6041"/>
    <w:rsid w:val="00AB67D0"/>
    <w:rsid w:val="00AB6E85"/>
    <w:rsid w:val="00AB7F7E"/>
    <w:rsid w:val="00AC012E"/>
    <w:rsid w:val="00AC1BF8"/>
    <w:rsid w:val="00AC2AAB"/>
    <w:rsid w:val="00AC4479"/>
    <w:rsid w:val="00AC55F5"/>
    <w:rsid w:val="00AC7289"/>
    <w:rsid w:val="00AC7290"/>
    <w:rsid w:val="00AC72F1"/>
    <w:rsid w:val="00AC7BF2"/>
    <w:rsid w:val="00AD0643"/>
    <w:rsid w:val="00AD0644"/>
    <w:rsid w:val="00AD1F2F"/>
    <w:rsid w:val="00AD2D7D"/>
    <w:rsid w:val="00AD45FD"/>
    <w:rsid w:val="00AD699B"/>
    <w:rsid w:val="00AE17AB"/>
    <w:rsid w:val="00AE26F9"/>
    <w:rsid w:val="00AE2B76"/>
    <w:rsid w:val="00AE44C2"/>
    <w:rsid w:val="00AE4B50"/>
    <w:rsid w:val="00AE521E"/>
    <w:rsid w:val="00AE528B"/>
    <w:rsid w:val="00AE7C61"/>
    <w:rsid w:val="00AF031F"/>
    <w:rsid w:val="00AF2196"/>
    <w:rsid w:val="00AF478B"/>
    <w:rsid w:val="00AF5AE6"/>
    <w:rsid w:val="00AF6095"/>
    <w:rsid w:val="00AF7A14"/>
    <w:rsid w:val="00B002FB"/>
    <w:rsid w:val="00B0056E"/>
    <w:rsid w:val="00B00D31"/>
    <w:rsid w:val="00B01DE9"/>
    <w:rsid w:val="00B03330"/>
    <w:rsid w:val="00B03E7C"/>
    <w:rsid w:val="00B049C7"/>
    <w:rsid w:val="00B04A96"/>
    <w:rsid w:val="00B05540"/>
    <w:rsid w:val="00B05E20"/>
    <w:rsid w:val="00B061F9"/>
    <w:rsid w:val="00B109F3"/>
    <w:rsid w:val="00B10FD1"/>
    <w:rsid w:val="00B111FD"/>
    <w:rsid w:val="00B1413F"/>
    <w:rsid w:val="00B15953"/>
    <w:rsid w:val="00B165E7"/>
    <w:rsid w:val="00B16954"/>
    <w:rsid w:val="00B220A1"/>
    <w:rsid w:val="00B22767"/>
    <w:rsid w:val="00B22C47"/>
    <w:rsid w:val="00B23155"/>
    <w:rsid w:val="00B234F5"/>
    <w:rsid w:val="00B25480"/>
    <w:rsid w:val="00B25791"/>
    <w:rsid w:val="00B26518"/>
    <w:rsid w:val="00B26606"/>
    <w:rsid w:val="00B30311"/>
    <w:rsid w:val="00B30772"/>
    <w:rsid w:val="00B30937"/>
    <w:rsid w:val="00B335F8"/>
    <w:rsid w:val="00B3378A"/>
    <w:rsid w:val="00B35E61"/>
    <w:rsid w:val="00B3678C"/>
    <w:rsid w:val="00B36D8A"/>
    <w:rsid w:val="00B4004E"/>
    <w:rsid w:val="00B400D3"/>
    <w:rsid w:val="00B41D13"/>
    <w:rsid w:val="00B41F98"/>
    <w:rsid w:val="00B42F61"/>
    <w:rsid w:val="00B44CF6"/>
    <w:rsid w:val="00B44E2A"/>
    <w:rsid w:val="00B46C0B"/>
    <w:rsid w:val="00B50FA6"/>
    <w:rsid w:val="00B51A0B"/>
    <w:rsid w:val="00B51F70"/>
    <w:rsid w:val="00B53D29"/>
    <w:rsid w:val="00B542A2"/>
    <w:rsid w:val="00B548E5"/>
    <w:rsid w:val="00B55EDC"/>
    <w:rsid w:val="00B5648E"/>
    <w:rsid w:val="00B5734D"/>
    <w:rsid w:val="00B602C2"/>
    <w:rsid w:val="00B61557"/>
    <w:rsid w:val="00B62AA9"/>
    <w:rsid w:val="00B62B87"/>
    <w:rsid w:val="00B630FE"/>
    <w:rsid w:val="00B637BB"/>
    <w:rsid w:val="00B644A0"/>
    <w:rsid w:val="00B66744"/>
    <w:rsid w:val="00B67310"/>
    <w:rsid w:val="00B71B26"/>
    <w:rsid w:val="00B7200E"/>
    <w:rsid w:val="00B735BA"/>
    <w:rsid w:val="00B73B32"/>
    <w:rsid w:val="00B740AF"/>
    <w:rsid w:val="00B74BBA"/>
    <w:rsid w:val="00B74C47"/>
    <w:rsid w:val="00B753E7"/>
    <w:rsid w:val="00B76D76"/>
    <w:rsid w:val="00B77211"/>
    <w:rsid w:val="00B77AE7"/>
    <w:rsid w:val="00B809DE"/>
    <w:rsid w:val="00B823C0"/>
    <w:rsid w:val="00B82F57"/>
    <w:rsid w:val="00B84481"/>
    <w:rsid w:val="00B849BB"/>
    <w:rsid w:val="00B84FCD"/>
    <w:rsid w:val="00B85B0C"/>
    <w:rsid w:val="00B875CA"/>
    <w:rsid w:val="00B876B1"/>
    <w:rsid w:val="00B87DF0"/>
    <w:rsid w:val="00B92A5A"/>
    <w:rsid w:val="00B94384"/>
    <w:rsid w:val="00B945EF"/>
    <w:rsid w:val="00B94732"/>
    <w:rsid w:val="00B95F18"/>
    <w:rsid w:val="00B964DD"/>
    <w:rsid w:val="00B979C9"/>
    <w:rsid w:val="00B97C5F"/>
    <w:rsid w:val="00BA0913"/>
    <w:rsid w:val="00BA0960"/>
    <w:rsid w:val="00BA232B"/>
    <w:rsid w:val="00BA2EF3"/>
    <w:rsid w:val="00BA4342"/>
    <w:rsid w:val="00BA70A8"/>
    <w:rsid w:val="00BB077C"/>
    <w:rsid w:val="00BB1A6E"/>
    <w:rsid w:val="00BB1F44"/>
    <w:rsid w:val="00BB280A"/>
    <w:rsid w:val="00BB4AD5"/>
    <w:rsid w:val="00BB5AF1"/>
    <w:rsid w:val="00BB7965"/>
    <w:rsid w:val="00BC2E3F"/>
    <w:rsid w:val="00BC3B84"/>
    <w:rsid w:val="00BC5760"/>
    <w:rsid w:val="00BC61A3"/>
    <w:rsid w:val="00BC70D4"/>
    <w:rsid w:val="00BC7ADE"/>
    <w:rsid w:val="00BD13C6"/>
    <w:rsid w:val="00BD1B9B"/>
    <w:rsid w:val="00BD1F6D"/>
    <w:rsid w:val="00BD5705"/>
    <w:rsid w:val="00BD75A4"/>
    <w:rsid w:val="00BE0B05"/>
    <w:rsid w:val="00BE0FA0"/>
    <w:rsid w:val="00BE1194"/>
    <w:rsid w:val="00BE1B38"/>
    <w:rsid w:val="00BE21DA"/>
    <w:rsid w:val="00BE29EB"/>
    <w:rsid w:val="00BE2DDB"/>
    <w:rsid w:val="00BE3302"/>
    <w:rsid w:val="00BE3FE9"/>
    <w:rsid w:val="00BE528C"/>
    <w:rsid w:val="00BE5F84"/>
    <w:rsid w:val="00BE677F"/>
    <w:rsid w:val="00BE7628"/>
    <w:rsid w:val="00BE7FF1"/>
    <w:rsid w:val="00BF18E9"/>
    <w:rsid w:val="00BF1E37"/>
    <w:rsid w:val="00BF36F7"/>
    <w:rsid w:val="00BF3AF7"/>
    <w:rsid w:val="00BF3D0E"/>
    <w:rsid w:val="00BF43D8"/>
    <w:rsid w:val="00BF476B"/>
    <w:rsid w:val="00BF4847"/>
    <w:rsid w:val="00BF5251"/>
    <w:rsid w:val="00BF6786"/>
    <w:rsid w:val="00BF67C9"/>
    <w:rsid w:val="00BF73C3"/>
    <w:rsid w:val="00C0098B"/>
    <w:rsid w:val="00C010EA"/>
    <w:rsid w:val="00C04D1A"/>
    <w:rsid w:val="00C06731"/>
    <w:rsid w:val="00C068FC"/>
    <w:rsid w:val="00C071AF"/>
    <w:rsid w:val="00C1050C"/>
    <w:rsid w:val="00C109BC"/>
    <w:rsid w:val="00C1145B"/>
    <w:rsid w:val="00C13327"/>
    <w:rsid w:val="00C13869"/>
    <w:rsid w:val="00C13B40"/>
    <w:rsid w:val="00C143FA"/>
    <w:rsid w:val="00C151C6"/>
    <w:rsid w:val="00C15F9D"/>
    <w:rsid w:val="00C16844"/>
    <w:rsid w:val="00C17AD4"/>
    <w:rsid w:val="00C2046E"/>
    <w:rsid w:val="00C207E3"/>
    <w:rsid w:val="00C20F69"/>
    <w:rsid w:val="00C22509"/>
    <w:rsid w:val="00C22AD2"/>
    <w:rsid w:val="00C232DC"/>
    <w:rsid w:val="00C251B4"/>
    <w:rsid w:val="00C25E2E"/>
    <w:rsid w:val="00C265D2"/>
    <w:rsid w:val="00C26915"/>
    <w:rsid w:val="00C27910"/>
    <w:rsid w:val="00C27C26"/>
    <w:rsid w:val="00C27EFF"/>
    <w:rsid w:val="00C317A1"/>
    <w:rsid w:val="00C32FD5"/>
    <w:rsid w:val="00C332CF"/>
    <w:rsid w:val="00C33638"/>
    <w:rsid w:val="00C3366B"/>
    <w:rsid w:val="00C343D8"/>
    <w:rsid w:val="00C35930"/>
    <w:rsid w:val="00C359E8"/>
    <w:rsid w:val="00C35BDF"/>
    <w:rsid w:val="00C369FF"/>
    <w:rsid w:val="00C374AB"/>
    <w:rsid w:val="00C41E28"/>
    <w:rsid w:val="00C42308"/>
    <w:rsid w:val="00C4370E"/>
    <w:rsid w:val="00C4416D"/>
    <w:rsid w:val="00C4527A"/>
    <w:rsid w:val="00C4734F"/>
    <w:rsid w:val="00C476E8"/>
    <w:rsid w:val="00C51688"/>
    <w:rsid w:val="00C51F5B"/>
    <w:rsid w:val="00C536FD"/>
    <w:rsid w:val="00C55379"/>
    <w:rsid w:val="00C566A2"/>
    <w:rsid w:val="00C625F6"/>
    <w:rsid w:val="00C67490"/>
    <w:rsid w:val="00C700C7"/>
    <w:rsid w:val="00C70219"/>
    <w:rsid w:val="00C711D3"/>
    <w:rsid w:val="00C7326A"/>
    <w:rsid w:val="00C737B5"/>
    <w:rsid w:val="00C73F32"/>
    <w:rsid w:val="00C74F20"/>
    <w:rsid w:val="00C75206"/>
    <w:rsid w:val="00C76B01"/>
    <w:rsid w:val="00C77381"/>
    <w:rsid w:val="00C77FF5"/>
    <w:rsid w:val="00C800BC"/>
    <w:rsid w:val="00C82CA0"/>
    <w:rsid w:val="00C838A4"/>
    <w:rsid w:val="00C84D9B"/>
    <w:rsid w:val="00C852C4"/>
    <w:rsid w:val="00C855CE"/>
    <w:rsid w:val="00C85604"/>
    <w:rsid w:val="00C875D1"/>
    <w:rsid w:val="00C90C1D"/>
    <w:rsid w:val="00C910E2"/>
    <w:rsid w:val="00C923F7"/>
    <w:rsid w:val="00C93157"/>
    <w:rsid w:val="00C9508D"/>
    <w:rsid w:val="00C9562C"/>
    <w:rsid w:val="00C958FA"/>
    <w:rsid w:val="00C964B4"/>
    <w:rsid w:val="00C9684A"/>
    <w:rsid w:val="00C96C82"/>
    <w:rsid w:val="00C97697"/>
    <w:rsid w:val="00C97DFB"/>
    <w:rsid w:val="00C97F76"/>
    <w:rsid w:val="00CA0AB8"/>
    <w:rsid w:val="00CA0D53"/>
    <w:rsid w:val="00CA0E75"/>
    <w:rsid w:val="00CA1432"/>
    <w:rsid w:val="00CA2E2F"/>
    <w:rsid w:val="00CA3B49"/>
    <w:rsid w:val="00CA4E15"/>
    <w:rsid w:val="00CA5E89"/>
    <w:rsid w:val="00CA6204"/>
    <w:rsid w:val="00CA6FE2"/>
    <w:rsid w:val="00CA7026"/>
    <w:rsid w:val="00CB0CA8"/>
    <w:rsid w:val="00CB0CBD"/>
    <w:rsid w:val="00CB1E99"/>
    <w:rsid w:val="00CB3C46"/>
    <w:rsid w:val="00CB4BBD"/>
    <w:rsid w:val="00CB4CA7"/>
    <w:rsid w:val="00CB6C67"/>
    <w:rsid w:val="00CB6CFD"/>
    <w:rsid w:val="00CB7EF2"/>
    <w:rsid w:val="00CC05A0"/>
    <w:rsid w:val="00CC0ACC"/>
    <w:rsid w:val="00CC1547"/>
    <w:rsid w:val="00CC1D35"/>
    <w:rsid w:val="00CC3BCB"/>
    <w:rsid w:val="00CC3D32"/>
    <w:rsid w:val="00CC40F8"/>
    <w:rsid w:val="00CC5722"/>
    <w:rsid w:val="00CC5A1C"/>
    <w:rsid w:val="00CC5A7B"/>
    <w:rsid w:val="00CC5E47"/>
    <w:rsid w:val="00CC63AA"/>
    <w:rsid w:val="00CC794A"/>
    <w:rsid w:val="00CD0A53"/>
    <w:rsid w:val="00CD0CC5"/>
    <w:rsid w:val="00CD129D"/>
    <w:rsid w:val="00CD2CCA"/>
    <w:rsid w:val="00CD31F4"/>
    <w:rsid w:val="00CD3BA8"/>
    <w:rsid w:val="00CD572E"/>
    <w:rsid w:val="00CD65E0"/>
    <w:rsid w:val="00CD6F71"/>
    <w:rsid w:val="00CD7905"/>
    <w:rsid w:val="00CE0EEB"/>
    <w:rsid w:val="00CE3FF9"/>
    <w:rsid w:val="00CE4FAA"/>
    <w:rsid w:val="00CE72C9"/>
    <w:rsid w:val="00CF076A"/>
    <w:rsid w:val="00CF0FAB"/>
    <w:rsid w:val="00CF118F"/>
    <w:rsid w:val="00CF3A2E"/>
    <w:rsid w:val="00CF6765"/>
    <w:rsid w:val="00D00F96"/>
    <w:rsid w:val="00D0100C"/>
    <w:rsid w:val="00D01952"/>
    <w:rsid w:val="00D031C1"/>
    <w:rsid w:val="00D0359A"/>
    <w:rsid w:val="00D04194"/>
    <w:rsid w:val="00D045C4"/>
    <w:rsid w:val="00D0639F"/>
    <w:rsid w:val="00D07865"/>
    <w:rsid w:val="00D110A1"/>
    <w:rsid w:val="00D117A6"/>
    <w:rsid w:val="00D1476E"/>
    <w:rsid w:val="00D152F5"/>
    <w:rsid w:val="00D16713"/>
    <w:rsid w:val="00D169DE"/>
    <w:rsid w:val="00D16C96"/>
    <w:rsid w:val="00D172A7"/>
    <w:rsid w:val="00D21445"/>
    <w:rsid w:val="00D221B2"/>
    <w:rsid w:val="00D221BD"/>
    <w:rsid w:val="00D226A9"/>
    <w:rsid w:val="00D22D6B"/>
    <w:rsid w:val="00D23B1A"/>
    <w:rsid w:val="00D24472"/>
    <w:rsid w:val="00D25213"/>
    <w:rsid w:val="00D2532C"/>
    <w:rsid w:val="00D261F1"/>
    <w:rsid w:val="00D26C2A"/>
    <w:rsid w:val="00D27AFF"/>
    <w:rsid w:val="00D305D0"/>
    <w:rsid w:val="00D308A1"/>
    <w:rsid w:val="00D314AE"/>
    <w:rsid w:val="00D32430"/>
    <w:rsid w:val="00D32BA3"/>
    <w:rsid w:val="00D34BFE"/>
    <w:rsid w:val="00D34C6E"/>
    <w:rsid w:val="00D37053"/>
    <w:rsid w:val="00D374B2"/>
    <w:rsid w:val="00D37936"/>
    <w:rsid w:val="00D37B79"/>
    <w:rsid w:val="00D40F02"/>
    <w:rsid w:val="00D4118F"/>
    <w:rsid w:val="00D41C3A"/>
    <w:rsid w:val="00D46D58"/>
    <w:rsid w:val="00D529AE"/>
    <w:rsid w:val="00D53336"/>
    <w:rsid w:val="00D535FC"/>
    <w:rsid w:val="00D54BA8"/>
    <w:rsid w:val="00D54E97"/>
    <w:rsid w:val="00D55C89"/>
    <w:rsid w:val="00D5630A"/>
    <w:rsid w:val="00D5746A"/>
    <w:rsid w:val="00D60366"/>
    <w:rsid w:val="00D605DF"/>
    <w:rsid w:val="00D63120"/>
    <w:rsid w:val="00D633EE"/>
    <w:rsid w:val="00D63564"/>
    <w:rsid w:val="00D645A0"/>
    <w:rsid w:val="00D6654A"/>
    <w:rsid w:val="00D667E3"/>
    <w:rsid w:val="00D66AAA"/>
    <w:rsid w:val="00D67742"/>
    <w:rsid w:val="00D67AA3"/>
    <w:rsid w:val="00D712C0"/>
    <w:rsid w:val="00D712E7"/>
    <w:rsid w:val="00D73D48"/>
    <w:rsid w:val="00D75E2A"/>
    <w:rsid w:val="00D7604C"/>
    <w:rsid w:val="00D7643B"/>
    <w:rsid w:val="00D77AB7"/>
    <w:rsid w:val="00D82C6E"/>
    <w:rsid w:val="00D84C86"/>
    <w:rsid w:val="00D85314"/>
    <w:rsid w:val="00D85696"/>
    <w:rsid w:val="00D86B15"/>
    <w:rsid w:val="00D905CA"/>
    <w:rsid w:val="00D90F1F"/>
    <w:rsid w:val="00D90F21"/>
    <w:rsid w:val="00D90F37"/>
    <w:rsid w:val="00D91026"/>
    <w:rsid w:val="00D91AFA"/>
    <w:rsid w:val="00D93763"/>
    <w:rsid w:val="00D939B8"/>
    <w:rsid w:val="00D93AF8"/>
    <w:rsid w:val="00D9439E"/>
    <w:rsid w:val="00D969EE"/>
    <w:rsid w:val="00D978F5"/>
    <w:rsid w:val="00D97F46"/>
    <w:rsid w:val="00DA1D6C"/>
    <w:rsid w:val="00DA212C"/>
    <w:rsid w:val="00DA3552"/>
    <w:rsid w:val="00DA3C43"/>
    <w:rsid w:val="00DA4472"/>
    <w:rsid w:val="00DA4FE0"/>
    <w:rsid w:val="00DA5B12"/>
    <w:rsid w:val="00DA5F0E"/>
    <w:rsid w:val="00DA7090"/>
    <w:rsid w:val="00DA7BD7"/>
    <w:rsid w:val="00DB071F"/>
    <w:rsid w:val="00DB0E52"/>
    <w:rsid w:val="00DB25A9"/>
    <w:rsid w:val="00DB3C41"/>
    <w:rsid w:val="00DB424B"/>
    <w:rsid w:val="00DB68B0"/>
    <w:rsid w:val="00DB69C8"/>
    <w:rsid w:val="00DB6F49"/>
    <w:rsid w:val="00DC0E61"/>
    <w:rsid w:val="00DC1238"/>
    <w:rsid w:val="00DC236F"/>
    <w:rsid w:val="00DC3C15"/>
    <w:rsid w:val="00DC41D8"/>
    <w:rsid w:val="00DC49C3"/>
    <w:rsid w:val="00DC5015"/>
    <w:rsid w:val="00DC678E"/>
    <w:rsid w:val="00DC7596"/>
    <w:rsid w:val="00DC7621"/>
    <w:rsid w:val="00DC7731"/>
    <w:rsid w:val="00DC7E0B"/>
    <w:rsid w:val="00DD028E"/>
    <w:rsid w:val="00DD158B"/>
    <w:rsid w:val="00DD3192"/>
    <w:rsid w:val="00DD4EEC"/>
    <w:rsid w:val="00DD52D0"/>
    <w:rsid w:val="00DD6621"/>
    <w:rsid w:val="00DD754E"/>
    <w:rsid w:val="00DE06A5"/>
    <w:rsid w:val="00DE16DB"/>
    <w:rsid w:val="00DE19AB"/>
    <w:rsid w:val="00DE329F"/>
    <w:rsid w:val="00DF4C93"/>
    <w:rsid w:val="00DF5532"/>
    <w:rsid w:val="00DF5972"/>
    <w:rsid w:val="00DF5ADE"/>
    <w:rsid w:val="00DF6177"/>
    <w:rsid w:val="00DF681E"/>
    <w:rsid w:val="00DF6B0A"/>
    <w:rsid w:val="00DF75FC"/>
    <w:rsid w:val="00DF769D"/>
    <w:rsid w:val="00DF7CB1"/>
    <w:rsid w:val="00DF7E27"/>
    <w:rsid w:val="00E00FD5"/>
    <w:rsid w:val="00E0183D"/>
    <w:rsid w:val="00E02D1F"/>
    <w:rsid w:val="00E02F6A"/>
    <w:rsid w:val="00E05107"/>
    <w:rsid w:val="00E064F2"/>
    <w:rsid w:val="00E103A9"/>
    <w:rsid w:val="00E12546"/>
    <w:rsid w:val="00E150FC"/>
    <w:rsid w:val="00E16009"/>
    <w:rsid w:val="00E1761F"/>
    <w:rsid w:val="00E179FC"/>
    <w:rsid w:val="00E20579"/>
    <w:rsid w:val="00E21887"/>
    <w:rsid w:val="00E219F7"/>
    <w:rsid w:val="00E21D5D"/>
    <w:rsid w:val="00E224F3"/>
    <w:rsid w:val="00E22A06"/>
    <w:rsid w:val="00E22C79"/>
    <w:rsid w:val="00E258FC"/>
    <w:rsid w:val="00E269CB"/>
    <w:rsid w:val="00E310DE"/>
    <w:rsid w:val="00E3235A"/>
    <w:rsid w:val="00E32F6E"/>
    <w:rsid w:val="00E3314D"/>
    <w:rsid w:val="00E33B55"/>
    <w:rsid w:val="00E340C7"/>
    <w:rsid w:val="00E346D5"/>
    <w:rsid w:val="00E34FEB"/>
    <w:rsid w:val="00E377BE"/>
    <w:rsid w:val="00E37F73"/>
    <w:rsid w:val="00E37F8D"/>
    <w:rsid w:val="00E41ECF"/>
    <w:rsid w:val="00E4397C"/>
    <w:rsid w:val="00E448F0"/>
    <w:rsid w:val="00E45F8F"/>
    <w:rsid w:val="00E4698C"/>
    <w:rsid w:val="00E47F70"/>
    <w:rsid w:val="00E50861"/>
    <w:rsid w:val="00E51D14"/>
    <w:rsid w:val="00E52CC8"/>
    <w:rsid w:val="00E54C0A"/>
    <w:rsid w:val="00E557A3"/>
    <w:rsid w:val="00E55A90"/>
    <w:rsid w:val="00E6528F"/>
    <w:rsid w:val="00E656C2"/>
    <w:rsid w:val="00E6582E"/>
    <w:rsid w:val="00E664D9"/>
    <w:rsid w:val="00E67B83"/>
    <w:rsid w:val="00E70CCF"/>
    <w:rsid w:val="00E7106C"/>
    <w:rsid w:val="00E71C5F"/>
    <w:rsid w:val="00E77D7B"/>
    <w:rsid w:val="00E826C8"/>
    <w:rsid w:val="00E8286F"/>
    <w:rsid w:val="00E828F4"/>
    <w:rsid w:val="00E82C89"/>
    <w:rsid w:val="00E85252"/>
    <w:rsid w:val="00E9076E"/>
    <w:rsid w:val="00E90D11"/>
    <w:rsid w:val="00E91898"/>
    <w:rsid w:val="00E91E95"/>
    <w:rsid w:val="00E93A54"/>
    <w:rsid w:val="00E93E05"/>
    <w:rsid w:val="00E944AB"/>
    <w:rsid w:val="00E9760F"/>
    <w:rsid w:val="00EA04F1"/>
    <w:rsid w:val="00EA17EA"/>
    <w:rsid w:val="00EA1836"/>
    <w:rsid w:val="00EA2901"/>
    <w:rsid w:val="00EA2C0E"/>
    <w:rsid w:val="00EA5BF5"/>
    <w:rsid w:val="00EA6A0D"/>
    <w:rsid w:val="00EA7D12"/>
    <w:rsid w:val="00EB0548"/>
    <w:rsid w:val="00EB0F2A"/>
    <w:rsid w:val="00EB3314"/>
    <w:rsid w:val="00EB3B51"/>
    <w:rsid w:val="00EB5BE1"/>
    <w:rsid w:val="00EB691B"/>
    <w:rsid w:val="00EB6C9F"/>
    <w:rsid w:val="00EB7584"/>
    <w:rsid w:val="00EC0DA5"/>
    <w:rsid w:val="00EC1693"/>
    <w:rsid w:val="00EC19FA"/>
    <w:rsid w:val="00EC1AF1"/>
    <w:rsid w:val="00EC3195"/>
    <w:rsid w:val="00EC319C"/>
    <w:rsid w:val="00EC3769"/>
    <w:rsid w:val="00EC3F1A"/>
    <w:rsid w:val="00EC4618"/>
    <w:rsid w:val="00EC4D6A"/>
    <w:rsid w:val="00EC6024"/>
    <w:rsid w:val="00EC6488"/>
    <w:rsid w:val="00ED1FB8"/>
    <w:rsid w:val="00ED2EEF"/>
    <w:rsid w:val="00ED2FB4"/>
    <w:rsid w:val="00ED6BFB"/>
    <w:rsid w:val="00ED7ECA"/>
    <w:rsid w:val="00EE03FA"/>
    <w:rsid w:val="00EE1AA8"/>
    <w:rsid w:val="00EE50C0"/>
    <w:rsid w:val="00EE5642"/>
    <w:rsid w:val="00EE6277"/>
    <w:rsid w:val="00EE73A2"/>
    <w:rsid w:val="00EE758E"/>
    <w:rsid w:val="00EF199A"/>
    <w:rsid w:val="00EF3610"/>
    <w:rsid w:val="00EF3734"/>
    <w:rsid w:val="00EF3763"/>
    <w:rsid w:val="00EF3A36"/>
    <w:rsid w:val="00EF63D5"/>
    <w:rsid w:val="00EF7347"/>
    <w:rsid w:val="00EF7E85"/>
    <w:rsid w:val="00F0004F"/>
    <w:rsid w:val="00F00B91"/>
    <w:rsid w:val="00F01B81"/>
    <w:rsid w:val="00F01DD6"/>
    <w:rsid w:val="00F038E2"/>
    <w:rsid w:val="00F0446E"/>
    <w:rsid w:val="00F062DE"/>
    <w:rsid w:val="00F06AD1"/>
    <w:rsid w:val="00F078B4"/>
    <w:rsid w:val="00F10C4B"/>
    <w:rsid w:val="00F11042"/>
    <w:rsid w:val="00F11CE7"/>
    <w:rsid w:val="00F1253B"/>
    <w:rsid w:val="00F13001"/>
    <w:rsid w:val="00F135AB"/>
    <w:rsid w:val="00F13AAC"/>
    <w:rsid w:val="00F1479F"/>
    <w:rsid w:val="00F15D9A"/>
    <w:rsid w:val="00F16A17"/>
    <w:rsid w:val="00F16E1C"/>
    <w:rsid w:val="00F17182"/>
    <w:rsid w:val="00F17856"/>
    <w:rsid w:val="00F2106E"/>
    <w:rsid w:val="00F21776"/>
    <w:rsid w:val="00F21B61"/>
    <w:rsid w:val="00F239D7"/>
    <w:rsid w:val="00F25400"/>
    <w:rsid w:val="00F267E7"/>
    <w:rsid w:val="00F2715C"/>
    <w:rsid w:val="00F27B0C"/>
    <w:rsid w:val="00F300BC"/>
    <w:rsid w:val="00F31074"/>
    <w:rsid w:val="00F3133F"/>
    <w:rsid w:val="00F34526"/>
    <w:rsid w:val="00F37212"/>
    <w:rsid w:val="00F375A7"/>
    <w:rsid w:val="00F37B4E"/>
    <w:rsid w:val="00F4237C"/>
    <w:rsid w:val="00F424CA"/>
    <w:rsid w:val="00F42F18"/>
    <w:rsid w:val="00F44C47"/>
    <w:rsid w:val="00F47DFA"/>
    <w:rsid w:val="00F503EA"/>
    <w:rsid w:val="00F52B15"/>
    <w:rsid w:val="00F5711B"/>
    <w:rsid w:val="00F606ED"/>
    <w:rsid w:val="00F61842"/>
    <w:rsid w:val="00F622FF"/>
    <w:rsid w:val="00F62311"/>
    <w:rsid w:val="00F6260D"/>
    <w:rsid w:val="00F62A2F"/>
    <w:rsid w:val="00F67485"/>
    <w:rsid w:val="00F67D7F"/>
    <w:rsid w:val="00F702F5"/>
    <w:rsid w:val="00F7043B"/>
    <w:rsid w:val="00F707BF"/>
    <w:rsid w:val="00F72D50"/>
    <w:rsid w:val="00F7343C"/>
    <w:rsid w:val="00F73ADF"/>
    <w:rsid w:val="00F768AF"/>
    <w:rsid w:val="00F76E99"/>
    <w:rsid w:val="00F77EDA"/>
    <w:rsid w:val="00F808F8"/>
    <w:rsid w:val="00F81155"/>
    <w:rsid w:val="00F838B8"/>
    <w:rsid w:val="00F841C0"/>
    <w:rsid w:val="00F8429A"/>
    <w:rsid w:val="00F84968"/>
    <w:rsid w:val="00F85703"/>
    <w:rsid w:val="00F863FE"/>
    <w:rsid w:val="00F87B31"/>
    <w:rsid w:val="00F90731"/>
    <w:rsid w:val="00F90932"/>
    <w:rsid w:val="00F933D6"/>
    <w:rsid w:val="00F93F70"/>
    <w:rsid w:val="00F96D47"/>
    <w:rsid w:val="00F97A0D"/>
    <w:rsid w:val="00FA0A7D"/>
    <w:rsid w:val="00FA0F07"/>
    <w:rsid w:val="00FA2179"/>
    <w:rsid w:val="00FA47E0"/>
    <w:rsid w:val="00FA4811"/>
    <w:rsid w:val="00FA61A5"/>
    <w:rsid w:val="00FA7ECB"/>
    <w:rsid w:val="00FB011D"/>
    <w:rsid w:val="00FB0C57"/>
    <w:rsid w:val="00FB3235"/>
    <w:rsid w:val="00FB32D9"/>
    <w:rsid w:val="00FB43FC"/>
    <w:rsid w:val="00FB48D3"/>
    <w:rsid w:val="00FB5BB1"/>
    <w:rsid w:val="00FB66E7"/>
    <w:rsid w:val="00FB7471"/>
    <w:rsid w:val="00FC6F22"/>
    <w:rsid w:val="00FC7EFA"/>
    <w:rsid w:val="00FC7FE3"/>
    <w:rsid w:val="00FD03EC"/>
    <w:rsid w:val="00FD1639"/>
    <w:rsid w:val="00FD2CEE"/>
    <w:rsid w:val="00FD46CD"/>
    <w:rsid w:val="00FD4790"/>
    <w:rsid w:val="00FD4E0C"/>
    <w:rsid w:val="00FD53CE"/>
    <w:rsid w:val="00FD5573"/>
    <w:rsid w:val="00FD63D3"/>
    <w:rsid w:val="00FE109E"/>
    <w:rsid w:val="00FE1426"/>
    <w:rsid w:val="00FE16D0"/>
    <w:rsid w:val="00FE2F1A"/>
    <w:rsid w:val="00FE35EC"/>
    <w:rsid w:val="00FE591E"/>
    <w:rsid w:val="00FE5D31"/>
    <w:rsid w:val="00FE7138"/>
    <w:rsid w:val="00FE75D3"/>
    <w:rsid w:val="00FF1A67"/>
    <w:rsid w:val="00FF21B4"/>
    <w:rsid w:val="00FF3CB6"/>
    <w:rsid w:val="00FF438D"/>
    <w:rsid w:val="00FF5397"/>
    <w:rsid w:val="00FF5B0C"/>
    <w:rsid w:val="120F1612"/>
    <w:rsid w:val="169949EE"/>
    <w:rsid w:val="1C51356F"/>
    <w:rsid w:val="2B272EAC"/>
    <w:rsid w:val="2B4A303F"/>
    <w:rsid w:val="2CF01BED"/>
    <w:rsid w:val="3084508E"/>
    <w:rsid w:val="37902969"/>
    <w:rsid w:val="380318B2"/>
    <w:rsid w:val="46BC6363"/>
    <w:rsid w:val="4C3D2214"/>
    <w:rsid w:val="5E0342BC"/>
    <w:rsid w:val="5E4D5527"/>
    <w:rsid w:val="636E4598"/>
    <w:rsid w:val="65C1400B"/>
    <w:rsid w:val="66761BF1"/>
    <w:rsid w:val="70896BF9"/>
    <w:rsid w:val="7FDA2F7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f">
      <v:fill on="t" focussize="0,0"/>
      <v:stroke on="f"/>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semiHidden="0"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uiPriority="39" w:name="toc 5"/>
    <w:lsdException w:uiPriority="39" w:name="toc 6"/>
    <w:lsdException w:uiPriority="39" w:name="toc 7"/>
    <w:lsdException w:uiPriority="39" w:name="toc 8"/>
    <w:lsdException w:uiPriority="39" w:name="toc 9"/>
    <w:lsdException w:qFormat="1" w:uiPriority="99"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iPriority="99" w:semiHidden="0"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qFormat="1" w:unhideWhenUsed="0" w:uiPriority="99" w:semiHidden="0"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semiHidden="0" w:name="Table Web 2"/>
    <w:lsdException w:uiPriority="99" w:semiHidden="0" w:name="Table Web 3"/>
    <w:lsdException w:qFormat="1" w:uiPriority="99" w:semiHidden="0" w:name="Balloon Text"/>
    <w:lsdException w:qFormat="1" w:unhideWhenUsed="0" w:uiPriority="39" w:semiHidden="0" w:name="Table Grid"/>
    <w:lsdException w:uiPriority="99"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480" w:lineRule="exact"/>
      <w:ind w:firstLine="200" w:firstLineChars="200"/>
      <w:jc w:val="both"/>
    </w:pPr>
    <w:rPr>
      <w:rFonts w:ascii="Times New Roman" w:hAnsi="Times New Roman" w:eastAsia="宋体" w:cstheme="minorBidi"/>
      <w:kern w:val="2"/>
      <w:sz w:val="24"/>
      <w:szCs w:val="22"/>
      <w:lang w:val="en-US" w:eastAsia="zh-CN" w:bidi="ar-SA"/>
    </w:rPr>
  </w:style>
  <w:style w:type="paragraph" w:styleId="5">
    <w:name w:val="heading 1"/>
    <w:basedOn w:val="1"/>
    <w:next w:val="6"/>
    <w:link w:val="35"/>
    <w:qFormat/>
    <w:uiPriority w:val="9"/>
    <w:pPr>
      <w:keepNext/>
      <w:keepLines/>
      <w:pageBreakBefore/>
      <w:adjustRightInd w:val="0"/>
      <w:spacing w:line="600" w:lineRule="exact"/>
      <w:ind w:firstLine="0" w:firstLineChars="0"/>
      <w:jc w:val="left"/>
      <w:outlineLvl w:val="0"/>
    </w:pPr>
    <w:rPr>
      <w:rFonts w:eastAsia="黑体" w:cs="Times New Roman"/>
      <w:kern w:val="44"/>
      <w:sz w:val="32"/>
      <w:szCs w:val="20"/>
    </w:rPr>
  </w:style>
  <w:style w:type="paragraph" w:styleId="7">
    <w:name w:val="heading 2"/>
    <w:basedOn w:val="1"/>
    <w:next w:val="1"/>
    <w:link w:val="42"/>
    <w:unhideWhenUsed/>
    <w:qFormat/>
    <w:uiPriority w:val="9"/>
    <w:pPr>
      <w:keepNext/>
      <w:keepLines/>
      <w:spacing w:line="600" w:lineRule="exact"/>
      <w:ind w:firstLine="0" w:firstLineChars="0"/>
      <w:outlineLvl w:val="1"/>
    </w:pPr>
    <w:rPr>
      <w:rFonts w:ascii="黑体" w:hAnsi="黑体" w:eastAsia="黑体" w:cstheme="majorBidi"/>
      <w:bCs/>
      <w:sz w:val="30"/>
      <w:szCs w:val="32"/>
    </w:rPr>
  </w:style>
  <w:style w:type="paragraph" w:styleId="8">
    <w:name w:val="heading 3"/>
    <w:basedOn w:val="1"/>
    <w:next w:val="1"/>
    <w:link w:val="43"/>
    <w:unhideWhenUsed/>
    <w:qFormat/>
    <w:uiPriority w:val="9"/>
    <w:pPr>
      <w:keepNext/>
      <w:keepLines/>
      <w:ind w:firstLine="0" w:firstLineChars="0"/>
      <w:jc w:val="left"/>
      <w:outlineLvl w:val="2"/>
    </w:pPr>
    <w:rPr>
      <w:rFonts w:ascii="黑体" w:hAnsi="黑体" w:eastAsia="黑体"/>
      <w:bCs/>
      <w:sz w:val="28"/>
      <w:szCs w:val="32"/>
    </w:rPr>
  </w:style>
  <w:style w:type="paragraph" w:styleId="9">
    <w:name w:val="heading 4"/>
    <w:basedOn w:val="1"/>
    <w:next w:val="1"/>
    <w:link w:val="53"/>
    <w:unhideWhenUsed/>
    <w:qFormat/>
    <w:uiPriority w:val="9"/>
    <w:pPr>
      <w:keepNext/>
      <w:keepLines/>
      <w:ind w:firstLine="0" w:firstLineChars="0"/>
      <w:outlineLvl w:val="3"/>
    </w:pPr>
    <w:rPr>
      <w:rFonts w:cs="Times New Roman"/>
      <w:b/>
      <w:bCs/>
      <w:szCs w:val="28"/>
    </w:rPr>
  </w:style>
  <w:style w:type="paragraph" w:styleId="10">
    <w:name w:val="heading 5"/>
    <w:basedOn w:val="1"/>
    <w:next w:val="1"/>
    <w:link w:val="48"/>
    <w:unhideWhenUsed/>
    <w:qFormat/>
    <w:uiPriority w:val="9"/>
    <w:pPr>
      <w:keepNext/>
      <w:keepLines/>
      <w:spacing w:before="280" w:after="290" w:line="376" w:lineRule="auto"/>
      <w:ind w:left="1008"/>
      <w:outlineLvl w:val="4"/>
    </w:pPr>
    <w:rPr>
      <w:b/>
      <w:bCs/>
      <w:szCs w:val="28"/>
    </w:rPr>
  </w:style>
  <w:style w:type="paragraph" w:styleId="11">
    <w:name w:val="heading 6"/>
    <w:basedOn w:val="1"/>
    <w:next w:val="1"/>
    <w:link w:val="54"/>
    <w:unhideWhenUsed/>
    <w:qFormat/>
    <w:uiPriority w:val="9"/>
    <w:pPr>
      <w:keepNext/>
      <w:keepLines/>
      <w:spacing w:before="240" w:after="64" w:line="320" w:lineRule="auto"/>
      <w:outlineLvl w:val="5"/>
    </w:pPr>
    <w:rPr>
      <w:rFonts w:ascii="Cambria" w:hAnsi="Cambria" w:cs="Times New Roman"/>
      <w:b/>
      <w:bCs/>
      <w:szCs w:val="24"/>
    </w:rPr>
  </w:style>
  <w:style w:type="paragraph" w:styleId="12">
    <w:name w:val="heading 7"/>
    <w:basedOn w:val="1"/>
    <w:next w:val="1"/>
    <w:link w:val="50"/>
    <w:unhideWhenUsed/>
    <w:qFormat/>
    <w:uiPriority w:val="9"/>
    <w:pPr>
      <w:keepNext/>
      <w:keepLines/>
      <w:spacing w:before="240" w:after="64" w:line="320" w:lineRule="auto"/>
      <w:ind w:left="1296"/>
      <w:outlineLvl w:val="6"/>
    </w:pPr>
    <w:rPr>
      <w:b/>
      <w:bCs/>
      <w:szCs w:val="24"/>
    </w:rPr>
  </w:style>
  <w:style w:type="paragraph" w:styleId="13">
    <w:name w:val="heading 8"/>
    <w:basedOn w:val="1"/>
    <w:next w:val="1"/>
    <w:link w:val="55"/>
    <w:unhideWhenUsed/>
    <w:qFormat/>
    <w:uiPriority w:val="9"/>
    <w:pPr>
      <w:keepNext/>
      <w:keepLines/>
      <w:spacing w:before="240" w:after="64" w:line="320" w:lineRule="auto"/>
      <w:outlineLvl w:val="7"/>
    </w:pPr>
    <w:rPr>
      <w:rFonts w:ascii="Cambria" w:hAnsi="Cambria" w:cs="Times New Roman"/>
      <w:szCs w:val="24"/>
    </w:rPr>
  </w:style>
  <w:style w:type="paragraph" w:styleId="14">
    <w:name w:val="heading 9"/>
    <w:basedOn w:val="1"/>
    <w:next w:val="1"/>
    <w:link w:val="56"/>
    <w:semiHidden/>
    <w:unhideWhenUsed/>
    <w:qFormat/>
    <w:uiPriority w:val="9"/>
    <w:pPr>
      <w:keepNext/>
      <w:keepLines/>
      <w:spacing w:before="240" w:after="64" w:line="320" w:lineRule="auto"/>
      <w:outlineLvl w:val="8"/>
    </w:pPr>
    <w:rPr>
      <w:rFonts w:ascii="Cambria" w:hAnsi="Cambria" w:cs="Times New Roman"/>
      <w:szCs w:val="21"/>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customStyle="1" w:styleId="2">
    <w:name w:val="正文首行缩进 21"/>
    <w:basedOn w:val="3"/>
    <w:next w:val="4"/>
    <w:qFormat/>
    <w:uiPriority w:val="0"/>
    <w:pPr>
      <w:ind w:left="200" w:leftChars="200" w:firstLine="200" w:firstLineChars="200"/>
    </w:pPr>
  </w:style>
  <w:style w:type="paragraph" w:customStyle="1" w:styleId="3">
    <w:name w:val="正文文本缩进1"/>
    <w:basedOn w:val="1"/>
    <w:qFormat/>
    <w:uiPriority w:val="0"/>
    <w:pPr>
      <w:ind w:left="200" w:leftChars="200"/>
    </w:pPr>
  </w:style>
  <w:style w:type="paragraph" w:styleId="4">
    <w:name w:val="Normal (Web)"/>
    <w:basedOn w:val="1"/>
    <w:next w:val="1"/>
    <w:unhideWhenUsed/>
    <w:qFormat/>
    <w:uiPriority w:val="99"/>
    <w:pPr>
      <w:widowControl/>
      <w:spacing w:before="100" w:beforeAutospacing="1" w:after="100" w:afterAutospacing="1"/>
      <w:jc w:val="left"/>
    </w:pPr>
    <w:rPr>
      <w:rFonts w:ascii="宋体" w:hAnsi="宋体" w:cs="宋体"/>
      <w:kern w:val="0"/>
      <w:szCs w:val="24"/>
    </w:rPr>
  </w:style>
  <w:style w:type="paragraph" w:styleId="6">
    <w:name w:val="Body Text Indent 2"/>
    <w:basedOn w:val="1"/>
    <w:link w:val="37"/>
    <w:unhideWhenUsed/>
    <w:qFormat/>
    <w:uiPriority w:val="99"/>
    <w:pPr>
      <w:spacing w:after="120" w:line="480" w:lineRule="auto"/>
      <w:ind w:left="420" w:leftChars="200"/>
    </w:pPr>
  </w:style>
  <w:style w:type="paragraph" w:styleId="15">
    <w:name w:val="Normal Indent"/>
    <w:basedOn w:val="1"/>
    <w:unhideWhenUsed/>
    <w:qFormat/>
    <w:uiPriority w:val="99"/>
    <w:pPr>
      <w:spacing w:line="560" w:lineRule="exact"/>
      <w:ind w:firstLine="420"/>
    </w:pPr>
    <w:rPr>
      <w:rFonts w:ascii="Calibri" w:hAnsi="Calibri" w:cs="Calibri"/>
      <w:sz w:val="28"/>
      <w:szCs w:val="28"/>
    </w:rPr>
  </w:style>
  <w:style w:type="paragraph" w:styleId="16">
    <w:name w:val="caption"/>
    <w:basedOn w:val="1"/>
    <w:next w:val="1"/>
    <w:unhideWhenUsed/>
    <w:qFormat/>
    <w:uiPriority w:val="35"/>
    <w:pPr>
      <w:spacing w:line="360" w:lineRule="auto"/>
      <w:jc w:val="center"/>
    </w:pPr>
    <w:rPr>
      <w:rFonts w:cstheme="majorBidi"/>
      <w:b/>
      <w:sz w:val="21"/>
      <w:szCs w:val="20"/>
    </w:rPr>
  </w:style>
  <w:style w:type="paragraph" w:styleId="17">
    <w:name w:val="Document Map"/>
    <w:basedOn w:val="1"/>
    <w:link w:val="66"/>
    <w:qFormat/>
    <w:uiPriority w:val="99"/>
    <w:pPr>
      <w:widowControl/>
      <w:adjustRightInd w:val="0"/>
      <w:snapToGrid w:val="0"/>
      <w:spacing w:line="360" w:lineRule="auto"/>
    </w:pPr>
    <w:rPr>
      <w:rFonts w:ascii="宋体" w:cs="宋体"/>
      <w:kern w:val="0"/>
      <w:sz w:val="18"/>
      <w:szCs w:val="18"/>
    </w:rPr>
  </w:style>
  <w:style w:type="paragraph" w:styleId="18">
    <w:name w:val="annotation text"/>
    <w:basedOn w:val="1"/>
    <w:link w:val="61"/>
    <w:unhideWhenUsed/>
    <w:qFormat/>
    <w:uiPriority w:val="99"/>
    <w:pPr>
      <w:spacing w:line="360" w:lineRule="auto"/>
      <w:jc w:val="left"/>
    </w:pPr>
    <w:rPr>
      <w:szCs w:val="21"/>
    </w:rPr>
  </w:style>
  <w:style w:type="paragraph" w:styleId="19">
    <w:name w:val="Body Text"/>
    <w:basedOn w:val="1"/>
    <w:link w:val="36"/>
    <w:semiHidden/>
    <w:unhideWhenUsed/>
    <w:qFormat/>
    <w:uiPriority w:val="0"/>
    <w:pPr>
      <w:spacing w:after="120"/>
    </w:pPr>
    <w:rPr>
      <w:rFonts w:cs="Times New Roman"/>
      <w:szCs w:val="20"/>
    </w:rPr>
  </w:style>
  <w:style w:type="paragraph" w:styleId="20">
    <w:name w:val="toc 3"/>
    <w:basedOn w:val="1"/>
    <w:next w:val="1"/>
    <w:unhideWhenUsed/>
    <w:qFormat/>
    <w:uiPriority w:val="39"/>
    <w:pPr>
      <w:tabs>
        <w:tab w:val="left" w:pos="240"/>
        <w:tab w:val="left" w:pos="480"/>
      </w:tabs>
      <w:spacing w:line="360" w:lineRule="auto"/>
      <w:ind w:left="200" w:leftChars="200"/>
      <w:jc w:val="left"/>
    </w:pPr>
    <w:rPr>
      <w:szCs w:val="21"/>
    </w:rPr>
  </w:style>
  <w:style w:type="paragraph" w:styleId="21">
    <w:name w:val="Date"/>
    <w:basedOn w:val="1"/>
    <w:next w:val="1"/>
    <w:link w:val="65"/>
    <w:semiHidden/>
    <w:unhideWhenUsed/>
    <w:qFormat/>
    <w:uiPriority w:val="99"/>
    <w:pPr>
      <w:spacing w:line="360" w:lineRule="auto"/>
      <w:ind w:left="100" w:leftChars="2500"/>
    </w:pPr>
    <w:rPr>
      <w:szCs w:val="21"/>
    </w:rPr>
  </w:style>
  <w:style w:type="paragraph" w:styleId="22">
    <w:name w:val="Balloon Text"/>
    <w:basedOn w:val="1"/>
    <w:link w:val="38"/>
    <w:unhideWhenUsed/>
    <w:qFormat/>
    <w:uiPriority w:val="99"/>
    <w:rPr>
      <w:sz w:val="18"/>
      <w:szCs w:val="18"/>
    </w:rPr>
  </w:style>
  <w:style w:type="paragraph" w:styleId="23">
    <w:name w:val="footer"/>
    <w:basedOn w:val="1"/>
    <w:link w:val="46"/>
    <w:unhideWhenUsed/>
    <w:qFormat/>
    <w:uiPriority w:val="99"/>
    <w:pPr>
      <w:tabs>
        <w:tab w:val="center" w:pos="4153"/>
        <w:tab w:val="right" w:pos="8306"/>
      </w:tabs>
      <w:snapToGrid w:val="0"/>
      <w:jc w:val="left"/>
    </w:pPr>
    <w:rPr>
      <w:sz w:val="18"/>
      <w:szCs w:val="18"/>
    </w:rPr>
  </w:style>
  <w:style w:type="paragraph" w:styleId="24">
    <w:name w:val="header"/>
    <w:basedOn w:val="1"/>
    <w:link w:val="45"/>
    <w:unhideWhenUsed/>
    <w:qFormat/>
    <w:uiPriority w:val="99"/>
    <w:pPr>
      <w:pBdr>
        <w:bottom w:val="single" w:color="auto" w:sz="6" w:space="1"/>
      </w:pBdr>
      <w:tabs>
        <w:tab w:val="center" w:pos="4153"/>
        <w:tab w:val="right" w:pos="8306"/>
      </w:tabs>
      <w:snapToGrid w:val="0"/>
      <w:jc w:val="center"/>
    </w:pPr>
    <w:rPr>
      <w:sz w:val="18"/>
      <w:szCs w:val="18"/>
    </w:rPr>
  </w:style>
  <w:style w:type="paragraph" w:styleId="25">
    <w:name w:val="toc 1"/>
    <w:basedOn w:val="1"/>
    <w:next w:val="1"/>
    <w:unhideWhenUsed/>
    <w:qFormat/>
    <w:uiPriority w:val="39"/>
    <w:pPr>
      <w:tabs>
        <w:tab w:val="left" w:pos="240"/>
        <w:tab w:val="left" w:pos="480"/>
        <w:tab w:val="left" w:pos="810"/>
        <w:tab w:val="right" w:leader="dot" w:pos="8296"/>
      </w:tabs>
      <w:spacing w:line="360" w:lineRule="auto"/>
      <w:ind w:firstLine="883"/>
      <w:jc w:val="left"/>
    </w:pPr>
    <w:rPr>
      <w:b/>
      <w:szCs w:val="21"/>
    </w:rPr>
  </w:style>
  <w:style w:type="paragraph" w:styleId="26">
    <w:name w:val="toc 4"/>
    <w:basedOn w:val="1"/>
    <w:next w:val="1"/>
    <w:unhideWhenUsed/>
    <w:qFormat/>
    <w:uiPriority w:val="39"/>
    <w:pPr>
      <w:spacing w:line="360" w:lineRule="auto"/>
      <w:ind w:left="1260" w:leftChars="600"/>
    </w:pPr>
  </w:style>
  <w:style w:type="paragraph" w:styleId="27">
    <w:name w:val="toc 2"/>
    <w:basedOn w:val="1"/>
    <w:next w:val="1"/>
    <w:unhideWhenUsed/>
    <w:qFormat/>
    <w:uiPriority w:val="39"/>
    <w:pPr>
      <w:tabs>
        <w:tab w:val="left" w:pos="240"/>
        <w:tab w:val="left" w:pos="480"/>
        <w:tab w:val="left" w:pos="944"/>
        <w:tab w:val="right" w:leader="dot" w:pos="8296"/>
      </w:tabs>
      <w:spacing w:line="360" w:lineRule="auto"/>
      <w:ind w:firstLine="480"/>
      <w:jc w:val="left"/>
    </w:pPr>
    <w:rPr>
      <w:szCs w:val="21"/>
    </w:rPr>
  </w:style>
  <w:style w:type="paragraph" w:styleId="28">
    <w:name w:val="annotation subject"/>
    <w:basedOn w:val="18"/>
    <w:next w:val="18"/>
    <w:link w:val="62"/>
    <w:unhideWhenUsed/>
    <w:qFormat/>
    <w:uiPriority w:val="99"/>
    <w:rPr>
      <w:b/>
      <w:bCs/>
    </w:rPr>
  </w:style>
  <w:style w:type="table" w:styleId="30">
    <w:name w:val="Table Grid"/>
    <w:basedOn w:val="29"/>
    <w:qFormat/>
    <w:uiPriority w:val="39"/>
    <w:rPr>
      <w:rFonts w:eastAsia="微软雅黑" w:cs="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FollowedHyperlink"/>
    <w:basedOn w:val="31"/>
    <w:semiHidden/>
    <w:unhideWhenUsed/>
    <w:qFormat/>
    <w:uiPriority w:val="99"/>
    <w:rPr>
      <w:color w:val="800080"/>
      <w:u w:val="single"/>
    </w:rPr>
  </w:style>
  <w:style w:type="character" w:styleId="33">
    <w:name w:val="Hyperlink"/>
    <w:basedOn w:val="31"/>
    <w:unhideWhenUsed/>
    <w:qFormat/>
    <w:uiPriority w:val="99"/>
    <w:rPr>
      <w:color w:val="0563C1" w:themeColor="hyperlink"/>
      <w:u w:val="single"/>
      <w14:textFill>
        <w14:solidFill>
          <w14:schemeClr w14:val="hlink"/>
        </w14:solidFill>
      </w14:textFill>
    </w:rPr>
  </w:style>
  <w:style w:type="character" w:styleId="34">
    <w:name w:val="annotation reference"/>
    <w:basedOn w:val="31"/>
    <w:unhideWhenUsed/>
    <w:qFormat/>
    <w:uiPriority w:val="99"/>
    <w:rPr>
      <w:sz w:val="21"/>
      <w:szCs w:val="21"/>
    </w:rPr>
  </w:style>
  <w:style w:type="character" w:customStyle="1" w:styleId="35">
    <w:name w:val="标题 1 字符"/>
    <w:basedOn w:val="31"/>
    <w:link w:val="5"/>
    <w:qFormat/>
    <w:uiPriority w:val="9"/>
    <w:rPr>
      <w:rFonts w:ascii="Times New Roman" w:hAnsi="Times New Roman" w:eastAsia="黑体" w:cs="Times New Roman"/>
      <w:kern w:val="44"/>
      <w:sz w:val="32"/>
      <w:szCs w:val="20"/>
    </w:rPr>
  </w:style>
  <w:style w:type="character" w:customStyle="1" w:styleId="36">
    <w:name w:val="正文文本 字符"/>
    <w:basedOn w:val="31"/>
    <w:link w:val="19"/>
    <w:semiHidden/>
    <w:qFormat/>
    <w:uiPriority w:val="0"/>
    <w:rPr>
      <w:rFonts w:ascii="Times New Roman" w:hAnsi="Times New Roman" w:eastAsia="宋体" w:cs="Times New Roman"/>
      <w:szCs w:val="20"/>
    </w:rPr>
  </w:style>
  <w:style w:type="character" w:customStyle="1" w:styleId="37">
    <w:name w:val="正文文本缩进 2 字符"/>
    <w:basedOn w:val="31"/>
    <w:link w:val="6"/>
    <w:qFormat/>
    <w:uiPriority w:val="99"/>
  </w:style>
  <w:style w:type="character" w:customStyle="1" w:styleId="38">
    <w:name w:val="批注框文本 字符"/>
    <w:basedOn w:val="31"/>
    <w:link w:val="22"/>
    <w:qFormat/>
    <w:uiPriority w:val="99"/>
    <w:rPr>
      <w:sz w:val="18"/>
      <w:szCs w:val="18"/>
    </w:rPr>
  </w:style>
  <w:style w:type="character" w:customStyle="1" w:styleId="39">
    <w:name w:val="fontstyle01"/>
    <w:basedOn w:val="31"/>
    <w:qFormat/>
    <w:uiPriority w:val="0"/>
    <w:rPr>
      <w:rFonts w:hint="default" w:ascii="ArialMT" w:hAnsi="ArialMT"/>
      <w:color w:val="000000"/>
      <w:sz w:val="28"/>
      <w:szCs w:val="28"/>
    </w:rPr>
  </w:style>
  <w:style w:type="character" w:customStyle="1" w:styleId="40">
    <w:name w:val="fontstyle11"/>
    <w:basedOn w:val="31"/>
    <w:qFormat/>
    <w:uiPriority w:val="0"/>
    <w:rPr>
      <w:rFonts w:hint="eastAsia" w:ascii="宋体" w:hAnsi="宋体" w:eastAsia="宋体"/>
      <w:color w:val="000000"/>
      <w:sz w:val="28"/>
      <w:szCs w:val="28"/>
    </w:rPr>
  </w:style>
  <w:style w:type="character" w:customStyle="1" w:styleId="41">
    <w:name w:val="fontstyle21"/>
    <w:basedOn w:val="31"/>
    <w:qFormat/>
    <w:uiPriority w:val="0"/>
    <w:rPr>
      <w:rFonts w:hint="default" w:ascii="ArialMT" w:hAnsi="ArialMT"/>
      <w:color w:val="000000"/>
      <w:sz w:val="28"/>
      <w:szCs w:val="28"/>
    </w:rPr>
  </w:style>
  <w:style w:type="character" w:customStyle="1" w:styleId="42">
    <w:name w:val="标题 2 字符"/>
    <w:basedOn w:val="31"/>
    <w:link w:val="7"/>
    <w:qFormat/>
    <w:uiPriority w:val="9"/>
    <w:rPr>
      <w:rFonts w:ascii="黑体" w:hAnsi="黑体" w:eastAsia="黑体" w:cstheme="majorBidi"/>
      <w:bCs/>
      <w:sz w:val="30"/>
      <w:szCs w:val="32"/>
    </w:rPr>
  </w:style>
  <w:style w:type="character" w:customStyle="1" w:styleId="43">
    <w:name w:val="标题 3 字符"/>
    <w:basedOn w:val="31"/>
    <w:link w:val="8"/>
    <w:qFormat/>
    <w:uiPriority w:val="9"/>
    <w:rPr>
      <w:rFonts w:ascii="黑体" w:hAnsi="黑体" w:eastAsia="黑体"/>
      <w:bCs/>
      <w:sz w:val="28"/>
      <w:szCs w:val="32"/>
    </w:rPr>
  </w:style>
  <w:style w:type="paragraph" w:styleId="44">
    <w:name w:val="List Paragraph"/>
    <w:basedOn w:val="1"/>
    <w:qFormat/>
    <w:uiPriority w:val="34"/>
    <w:pPr>
      <w:ind w:firstLine="420"/>
    </w:pPr>
  </w:style>
  <w:style w:type="character" w:customStyle="1" w:styleId="45">
    <w:name w:val="页眉 字符"/>
    <w:basedOn w:val="31"/>
    <w:link w:val="24"/>
    <w:qFormat/>
    <w:uiPriority w:val="99"/>
    <w:rPr>
      <w:sz w:val="18"/>
      <w:szCs w:val="18"/>
    </w:rPr>
  </w:style>
  <w:style w:type="character" w:customStyle="1" w:styleId="46">
    <w:name w:val="页脚 字符"/>
    <w:basedOn w:val="31"/>
    <w:link w:val="23"/>
    <w:qFormat/>
    <w:uiPriority w:val="99"/>
    <w:rPr>
      <w:sz w:val="18"/>
      <w:szCs w:val="18"/>
    </w:rPr>
  </w:style>
  <w:style w:type="paragraph" w:customStyle="1" w:styleId="47">
    <w:name w:val="标题 41"/>
    <w:basedOn w:val="1"/>
    <w:next w:val="1"/>
    <w:unhideWhenUsed/>
    <w:qFormat/>
    <w:uiPriority w:val="9"/>
    <w:pPr>
      <w:keepNext/>
      <w:keepLines/>
      <w:tabs>
        <w:tab w:val="left" w:pos="1567"/>
      </w:tabs>
      <w:spacing w:line="360" w:lineRule="auto"/>
      <w:ind w:left="1567"/>
      <w:jc w:val="left"/>
      <w:outlineLvl w:val="3"/>
    </w:pPr>
    <w:rPr>
      <w:rFonts w:cs="Times New Roman"/>
      <w:b/>
      <w:bCs/>
      <w:szCs w:val="28"/>
    </w:rPr>
  </w:style>
  <w:style w:type="character" w:customStyle="1" w:styleId="48">
    <w:name w:val="标题 5 字符"/>
    <w:basedOn w:val="31"/>
    <w:link w:val="10"/>
    <w:qFormat/>
    <w:uiPriority w:val="9"/>
    <w:rPr>
      <w:rFonts w:ascii="Times New Roman" w:hAnsi="Times New Roman"/>
      <w:b/>
      <w:bCs/>
      <w:sz w:val="24"/>
      <w:szCs w:val="28"/>
    </w:rPr>
  </w:style>
  <w:style w:type="paragraph" w:customStyle="1" w:styleId="49">
    <w:name w:val="标题 61"/>
    <w:basedOn w:val="1"/>
    <w:next w:val="1"/>
    <w:unhideWhenUsed/>
    <w:qFormat/>
    <w:uiPriority w:val="9"/>
    <w:pPr>
      <w:keepNext/>
      <w:keepLines/>
      <w:tabs>
        <w:tab w:val="left" w:pos="2719"/>
      </w:tabs>
      <w:spacing w:before="240" w:after="64" w:line="320" w:lineRule="auto"/>
      <w:ind w:left="2719"/>
      <w:outlineLvl w:val="5"/>
    </w:pPr>
    <w:rPr>
      <w:rFonts w:ascii="Cambria" w:hAnsi="Cambria" w:cs="Times New Roman"/>
      <w:b/>
      <w:bCs/>
      <w:szCs w:val="24"/>
    </w:rPr>
  </w:style>
  <w:style w:type="character" w:customStyle="1" w:styleId="50">
    <w:name w:val="标题 7 字符"/>
    <w:basedOn w:val="31"/>
    <w:link w:val="12"/>
    <w:qFormat/>
    <w:uiPriority w:val="9"/>
    <w:rPr>
      <w:rFonts w:ascii="Times New Roman" w:hAnsi="Times New Roman"/>
      <w:b/>
      <w:bCs/>
      <w:sz w:val="24"/>
      <w:szCs w:val="24"/>
    </w:rPr>
  </w:style>
  <w:style w:type="paragraph" w:customStyle="1" w:styleId="51">
    <w:name w:val="标题 81"/>
    <w:basedOn w:val="1"/>
    <w:next w:val="1"/>
    <w:unhideWhenUsed/>
    <w:qFormat/>
    <w:uiPriority w:val="9"/>
    <w:pPr>
      <w:keepNext/>
      <w:keepLines/>
      <w:tabs>
        <w:tab w:val="left" w:pos="3007"/>
      </w:tabs>
      <w:spacing w:before="240" w:after="64" w:line="320" w:lineRule="auto"/>
      <w:ind w:left="3007"/>
      <w:outlineLvl w:val="7"/>
    </w:pPr>
    <w:rPr>
      <w:rFonts w:ascii="Cambria" w:hAnsi="Cambria" w:cs="Times New Roman"/>
      <w:szCs w:val="24"/>
    </w:rPr>
  </w:style>
  <w:style w:type="paragraph" w:customStyle="1" w:styleId="52">
    <w:name w:val="标题 91"/>
    <w:basedOn w:val="1"/>
    <w:next w:val="1"/>
    <w:semiHidden/>
    <w:unhideWhenUsed/>
    <w:qFormat/>
    <w:uiPriority w:val="9"/>
    <w:pPr>
      <w:keepNext/>
      <w:keepLines/>
      <w:tabs>
        <w:tab w:val="left" w:pos="3151"/>
      </w:tabs>
      <w:spacing w:before="240" w:after="64" w:line="320" w:lineRule="auto"/>
      <w:ind w:left="3151"/>
      <w:outlineLvl w:val="8"/>
    </w:pPr>
    <w:rPr>
      <w:rFonts w:ascii="Cambria" w:hAnsi="Cambria" w:cs="Times New Roman"/>
      <w:szCs w:val="21"/>
    </w:rPr>
  </w:style>
  <w:style w:type="character" w:customStyle="1" w:styleId="53">
    <w:name w:val="标题 4 字符"/>
    <w:basedOn w:val="31"/>
    <w:link w:val="9"/>
    <w:qFormat/>
    <w:uiPriority w:val="9"/>
    <w:rPr>
      <w:rFonts w:ascii="Times New Roman" w:hAnsi="Times New Roman" w:eastAsia="宋体" w:cs="Times New Roman"/>
      <w:b/>
      <w:bCs/>
      <w:sz w:val="24"/>
      <w:szCs w:val="28"/>
    </w:rPr>
  </w:style>
  <w:style w:type="character" w:customStyle="1" w:styleId="54">
    <w:name w:val="标题 6 字符"/>
    <w:basedOn w:val="31"/>
    <w:link w:val="11"/>
    <w:qFormat/>
    <w:uiPriority w:val="9"/>
    <w:rPr>
      <w:rFonts w:ascii="Cambria" w:hAnsi="Cambria" w:eastAsia="宋体" w:cs="Times New Roman"/>
      <w:b/>
      <w:bCs/>
      <w:sz w:val="24"/>
      <w:szCs w:val="24"/>
    </w:rPr>
  </w:style>
  <w:style w:type="character" w:customStyle="1" w:styleId="55">
    <w:name w:val="标题 8 字符"/>
    <w:basedOn w:val="31"/>
    <w:link w:val="13"/>
    <w:qFormat/>
    <w:uiPriority w:val="9"/>
    <w:rPr>
      <w:rFonts w:ascii="Cambria" w:hAnsi="Cambria" w:eastAsia="宋体" w:cs="Times New Roman"/>
      <w:sz w:val="24"/>
      <w:szCs w:val="24"/>
    </w:rPr>
  </w:style>
  <w:style w:type="character" w:customStyle="1" w:styleId="56">
    <w:name w:val="标题 9 字符"/>
    <w:basedOn w:val="31"/>
    <w:link w:val="14"/>
    <w:semiHidden/>
    <w:qFormat/>
    <w:uiPriority w:val="9"/>
    <w:rPr>
      <w:rFonts w:ascii="Cambria" w:hAnsi="Cambria" w:eastAsia="宋体" w:cs="Times New Roman"/>
      <w:sz w:val="24"/>
      <w:szCs w:val="21"/>
    </w:rPr>
  </w:style>
  <w:style w:type="paragraph" w:customStyle="1" w:styleId="57">
    <w:name w:val="TOC 标题1"/>
    <w:basedOn w:val="5"/>
    <w:next w:val="1"/>
    <w:unhideWhenUsed/>
    <w:qFormat/>
    <w:uiPriority w:val="39"/>
    <w:pPr>
      <w:pageBreakBefore w:val="0"/>
      <w:widowControl/>
      <w:adjustRightInd/>
      <w:spacing w:before="480" w:line="276" w:lineRule="auto"/>
      <w:outlineLvl w:val="9"/>
    </w:pPr>
    <w:rPr>
      <w:rFonts w:ascii="Cambria" w:hAnsi="Cambria" w:eastAsia="宋体"/>
      <w:b/>
      <w:bCs/>
      <w:color w:val="365F91"/>
      <w:kern w:val="0"/>
      <w:sz w:val="24"/>
      <w:szCs w:val="28"/>
    </w:rPr>
  </w:style>
  <w:style w:type="character" w:customStyle="1" w:styleId="58">
    <w:name w:val="超链接1"/>
    <w:basedOn w:val="31"/>
    <w:unhideWhenUsed/>
    <w:qFormat/>
    <w:uiPriority w:val="99"/>
    <w:rPr>
      <w:color w:val="0000FF"/>
      <w:u w:val="single"/>
    </w:rPr>
  </w:style>
  <w:style w:type="character" w:customStyle="1" w:styleId="59">
    <w:name w:val="apple-converted-space"/>
    <w:basedOn w:val="31"/>
    <w:qFormat/>
    <w:uiPriority w:val="0"/>
  </w:style>
  <w:style w:type="paragraph" w:customStyle="1" w:styleId="60">
    <w:name w:val="题注1"/>
    <w:basedOn w:val="1"/>
    <w:next w:val="1"/>
    <w:unhideWhenUsed/>
    <w:qFormat/>
    <w:uiPriority w:val="35"/>
    <w:pPr>
      <w:spacing w:line="360" w:lineRule="auto"/>
    </w:pPr>
    <w:rPr>
      <w:rFonts w:ascii="Cambria" w:hAnsi="Cambria" w:eastAsia="黑体" w:cs="Times New Roman"/>
      <w:sz w:val="20"/>
      <w:szCs w:val="20"/>
    </w:rPr>
  </w:style>
  <w:style w:type="character" w:customStyle="1" w:styleId="61">
    <w:name w:val="批注文字 字符"/>
    <w:basedOn w:val="31"/>
    <w:link w:val="18"/>
    <w:qFormat/>
    <w:uiPriority w:val="99"/>
    <w:rPr>
      <w:rFonts w:ascii="Times New Roman" w:hAnsi="Times New Roman"/>
      <w:sz w:val="24"/>
      <w:szCs w:val="21"/>
    </w:rPr>
  </w:style>
  <w:style w:type="character" w:customStyle="1" w:styleId="62">
    <w:name w:val="批注主题 字符"/>
    <w:basedOn w:val="61"/>
    <w:link w:val="28"/>
    <w:qFormat/>
    <w:uiPriority w:val="99"/>
    <w:rPr>
      <w:rFonts w:ascii="Times New Roman" w:hAnsi="Times New Roman"/>
      <w:b/>
      <w:bCs/>
      <w:sz w:val="24"/>
      <w:szCs w:val="21"/>
    </w:rPr>
  </w:style>
  <w:style w:type="paragraph" w:customStyle="1" w:styleId="63">
    <w:name w:val="内容"/>
    <w:basedOn w:val="1"/>
    <w:qFormat/>
    <w:uiPriority w:val="0"/>
    <w:pPr>
      <w:ind w:firstLine="420"/>
    </w:pPr>
    <w:rPr>
      <w:rFonts w:ascii="宋体" w:hAnsi="宋体" w:cs="Times New Roman"/>
      <w:szCs w:val="20"/>
    </w:rPr>
  </w:style>
  <w:style w:type="paragraph" w:styleId="64">
    <w:name w:val="No Spacing"/>
    <w:qFormat/>
    <w:uiPriority w:val="1"/>
    <w:pPr>
      <w:widowControl w:val="0"/>
      <w:spacing w:line="360" w:lineRule="auto"/>
      <w:jc w:val="center"/>
    </w:pPr>
    <w:rPr>
      <w:rFonts w:ascii="Times New Roman" w:hAnsi="Times New Roman" w:eastAsiaTheme="minorEastAsia" w:cstheme="minorBidi"/>
      <w:kern w:val="2"/>
      <w:sz w:val="21"/>
      <w:szCs w:val="21"/>
      <w:lang w:val="en-US" w:eastAsia="zh-CN" w:bidi="ar-SA"/>
    </w:rPr>
  </w:style>
  <w:style w:type="character" w:customStyle="1" w:styleId="65">
    <w:name w:val="日期 字符"/>
    <w:basedOn w:val="31"/>
    <w:link w:val="21"/>
    <w:semiHidden/>
    <w:qFormat/>
    <w:uiPriority w:val="99"/>
    <w:rPr>
      <w:rFonts w:ascii="Times New Roman" w:hAnsi="Times New Roman"/>
      <w:sz w:val="24"/>
      <w:szCs w:val="21"/>
    </w:rPr>
  </w:style>
  <w:style w:type="character" w:customStyle="1" w:styleId="66">
    <w:name w:val="文档结构图 字符"/>
    <w:basedOn w:val="31"/>
    <w:link w:val="17"/>
    <w:qFormat/>
    <w:uiPriority w:val="99"/>
    <w:rPr>
      <w:rFonts w:ascii="宋体" w:hAnsi="Times New Roman" w:eastAsia="宋体" w:cs="宋体"/>
      <w:kern w:val="0"/>
      <w:sz w:val="18"/>
      <w:szCs w:val="18"/>
    </w:rPr>
  </w:style>
  <w:style w:type="paragraph" w:customStyle="1" w:styleId="67">
    <w:name w:val="Default"/>
    <w:qFormat/>
    <w:uiPriority w:val="0"/>
    <w:pPr>
      <w:widowControl w:val="0"/>
      <w:autoSpaceDE w:val="0"/>
      <w:autoSpaceDN w:val="0"/>
      <w:adjustRightInd w:val="0"/>
    </w:pPr>
    <w:rPr>
      <w:rFonts w:ascii="宋体" w:eastAsia="宋体" w:cs="宋体" w:hAnsiTheme="minorHAnsi"/>
      <w:color w:val="000000"/>
      <w:sz w:val="24"/>
      <w:szCs w:val="24"/>
      <w:lang w:val="en-US" w:eastAsia="zh-CN" w:bidi="ar-SA"/>
    </w:rPr>
  </w:style>
  <w:style w:type="paragraph" w:customStyle="1" w:styleId="68">
    <w:name w:val="font5"/>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69">
    <w:name w:val="font6"/>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70">
    <w:name w:val="font7"/>
    <w:basedOn w:val="1"/>
    <w:qFormat/>
    <w:uiPriority w:val="0"/>
    <w:pPr>
      <w:widowControl/>
      <w:spacing w:before="100" w:beforeAutospacing="1" w:after="100" w:afterAutospacing="1"/>
      <w:jc w:val="left"/>
    </w:pPr>
    <w:rPr>
      <w:rFonts w:cs="Times New Roman"/>
      <w:color w:val="000000"/>
      <w:kern w:val="0"/>
      <w:sz w:val="20"/>
      <w:szCs w:val="20"/>
    </w:rPr>
  </w:style>
  <w:style w:type="paragraph" w:customStyle="1" w:styleId="71">
    <w:name w:val="font8"/>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72">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cs="Times New Roman"/>
      <w:kern w:val="0"/>
      <w:sz w:val="20"/>
      <w:szCs w:val="20"/>
    </w:rPr>
  </w:style>
  <w:style w:type="paragraph" w:customStyle="1" w:styleId="73">
    <w:name w:val="xl66"/>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74">
    <w:name w:val="xl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Cs w:val="24"/>
    </w:rPr>
  </w:style>
  <w:style w:type="paragraph" w:customStyle="1" w:styleId="75">
    <w:name w:val="xl6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cs="Times New Roman"/>
      <w:kern w:val="0"/>
      <w:sz w:val="20"/>
      <w:szCs w:val="20"/>
    </w:rPr>
  </w:style>
  <w:style w:type="paragraph" w:customStyle="1" w:styleId="76">
    <w:name w:val="xl69"/>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cs="Times New Roman"/>
      <w:kern w:val="0"/>
      <w:sz w:val="20"/>
      <w:szCs w:val="20"/>
    </w:rPr>
  </w:style>
  <w:style w:type="paragraph" w:customStyle="1" w:styleId="77">
    <w:name w:val="xl70"/>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cs="Times New Roman"/>
      <w:kern w:val="0"/>
      <w:sz w:val="20"/>
      <w:szCs w:val="20"/>
    </w:rPr>
  </w:style>
  <w:style w:type="character" w:customStyle="1" w:styleId="78">
    <w:name w:val="标题 4 Char1"/>
    <w:basedOn w:val="31"/>
    <w:semiHidden/>
    <w:qFormat/>
    <w:uiPriority w:val="9"/>
    <w:rPr>
      <w:rFonts w:asciiTheme="majorHAnsi" w:hAnsiTheme="majorHAnsi" w:eastAsiaTheme="majorEastAsia" w:cstheme="majorBidi"/>
      <w:b/>
      <w:bCs/>
      <w:sz w:val="28"/>
      <w:szCs w:val="28"/>
    </w:rPr>
  </w:style>
  <w:style w:type="character" w:customStyle="1" w:styleId="79">
    <w:name w:val="标题 6 Char1"/>
    <w:basedOn w:val="31"/>
    <w:semiHidden/>
    <w:qFormat/>
    <w:uiPriority w:val="9"/>
    <w:rPr>
      <w:rFonts w:asciiTheme="majorHAnsi" w:hAnsiTheme="majorHAnsi" w:eastAsiaTheme="majorEastAsia" w:cstheme="majorBidi"/>
      <w:b/>
      <w:bCs/>
      <w:sz w:val="24"/>
      <w:szCs w:val="24"/>
    </w:rPr>
  </w:style>
  <w:style w:type="character" w:customStyle="1" w:styleId="80">
    <w:name w:val="标题 8 Char1"/>
    <w:basedOn w:val="31"/>
    <w:semiHidden/>
    <w:qFormat/>
    <w:uiPriority w:val="9"/>
    <w:rPr>
      <w:rFonts w:asciiTheme="majorHAnsi" w:hAnsiTheme="majorHAnsi" w:eastAsiaTheme="majorEastAsia" w:cstheme="majorBidi"/>
      <w:sz w:val="24"/>
      <w:szCs w:val="24"/>
    </w:rPr>
  </w:style>
  <w:style w:type="character" w:customStyle="1" w:styleId="81">
    <w:name w:val="标题 9 Char1"/>
    <w:basedOn w:val="31"/>
    <w:semiHidden/>
    <w:qFormat/>
    <w:uiPriority w:val="9"/>
    <w:rPr>
      <w:rFonts w:asciiTheme="majorHAnsi" w:hAnsiTheme="majorHAnsi" w:eastAsiaTheme="majorEastAsia" w:cstheme="majorBidi"/>
      <w:szCs w:val="21"/>
    </w:rPr>
  </w:style>
  <w:style w:type="paragraph" w:customStyle="1" w:styleId="82">
    <w:name w:val="TOC 标题2"/>
    <w:basedOn w:val="5"/>
    <w:next w:val="1"/>
    <w:unhideWhenUsed/>
    <w:qFormat/>
    <w:uiPriority w:val="39"/>
    <w:pPr>
      <w:pageBreakBefore w:val="0"/>
      <w:widowControl/>
      <w:adjustRightInd/>
      <w:spacing w:before="480" w:line="276" w:lineRule="auto"/>
      <w:outlineLvl w:val="9"/>
    </w:pPr>
    <w:rPr>
      <w:rFonts w:asciiTheme="majorHAnsi" w:hAnsiTheme="majorHAnsi" w:eastAsiaTheme="majorEastAsia" w:cstheme="majorBidi"/>
      <w:b/>
      <w:bCs/>
      <w:color w:val="2E75B6" w:themeColor="accent1" w:themeShade="BF"/>
      <w:kern w:val="0"/>
      <w:sz w:val="24"/>
      <w:szCs w:val="28"/>
    </w:rPr>
  </w:style>
  <w:style w:type="paragraph" w:customStyle="1" w:styleId="83">
    <w:name w:val="样式 样式 样式 样式 正文首行缩进 2 + 首行缩进:  2.5 字符 + 首行缩进:  2 字符 Char + 首行缩进: ..."/>
    <w:basedOn w:val="1"/>
    <w:qFormat/>
    <w:uiPriority w:val="0"/>
    <w:pPr>
      <w:tabs>
        <w:tab w:val="left" w:pos="5765"/>
        <w:tab w:val="left" w:pos="6170"/>
      </w:tabs>
      <w:adjustRightInd w:val="0"/>
      <w:spacing w:line="360" w:lineRule="auto"/>
      <w:ind w:firstLine="0" w:firstLineChars="0"/>
      <w:textAlignment w:val="baseline"/>
    </w:pPr>
    <w:rPr>
      <w:rFonts w:ascii="宋体" w:hAnsi="宋体" w:cs="Times New Roman"/>
      <w:sz w:val="28"/>
      <w:szCs w:val="20"/>
    </w:rPr>
  </w:style>
  <w:style w:type="paragraph" w:styleId="84">
    <w:name w:val="Quote"/>
    <w:basedOn w:val="1"/>
    <w:next w:val="1"/>
    <w:link w:val="85"/>
    <w:qFormat/>
    <w:uiPriority w:val="29"/>
    <w:pPr>
      <w:ind w:firstLine="0" w:firstLineChars="0"/>
      <w:jc w:val="center"/>
    </w:pPr>
    <w:rPr>
      <w:iCs/>
      <w:color w:val="000000" w:themeColor="text1"/>
      <w:sz w:val="21"/>
      <w14:textFill>
        <w14:solidFill>
          <w14:schemeClr w14:val="tx1"/>
        </w14:solidFill>
      </w14:textFill>
    </w:rPr>
  </w:style>
  <w:style w:type="character" w:customStyle="1" w:styleId="85">
    <w:name w:val="引用 字符"/>
    <w:basedOn w:val="31"/>
    <w:link w:val="84"/>
    <w:qFormat/>
    <w:uiPriority w:val="29"/>
    <w:rPr>
      <w:rFonts w:ascii="Times New Roman" w:hAnsi="Times New Roman" w:eastAsia="宋体"/>
      <w:iCs/>
      <w:color w:val="000000" w:themeColor="text1"/>
      <w14:textFill>
        <w14:solidFill>
          <w14:schemeClr w14:val="tx1"/>
        </w14:solidFill>
      </w14:textFill>
    </w:rPr>
  </w:style>
  <w:style w:type="paragraph" w:customStyle="1" w:styleId="86">
    <w:name w:val="xl71"/>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87">
    <w:name w:val="xl72"/>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88">
    <w:name w:val="xl73"/>
    <w:basedOn w:val="1"/>
    <w:qFormat/>
    <w:uiPriority w:val="0"/>
    <w:pPr>
      <w:widowControl/>
      <w:pBdr>
        <w:top w:val="single" w:color="000000" w:sz="8" w:space="0"/>
        <w:left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color w:val="000000"/>
      <w:kern w:val="0"/>
      <w:sz w:val="21"/>
      <w:szCs w:val="21"/>
    </w:rPr>
  </w:style>
  <w:style w:type="paragraph" w:customStyle="1" w:styleId="89">
    <w:name w:val="xl74"/>
    <w:basedOn w:val="1"/>
    <w:qFormat/>
    <w:uiPriority w:val="0"/>
    <w:pPr>
      <w:widowControl/>
      <w:pBdr>
        <w:left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kern w:val="0"/>
      <w:szCs w:val="24"/>
    </w:rPr>
  </w:style>
  <w:style w:type="paragraph" w:customStyle="1" w:styleId="90">
    <w:name w:val="xl75"/>
    <w:basedOn w:val="1"/>
    <w:qFormat/>
    <w:uiPriority w:val="0"/>
    <w:pPr>
      <w:widowControl/>
      <w:pBdr>
        <w:left w:val="single" w:color="auto" w:sz="8" w:space="0"/>
        <w:bottom w:val="single" w:color="000000" w:sz="8" w:space="0"/>
        <w:right w:val="single" w:color="auto" w:sz="8" w:space="0"/>
      </w:pBdr>
      <w:spacing w:before="100" w:beforeAutospacing="1" w:after="100" w:afterAutospacing="1" w:line="240" w:lineRule="auto"/>
      <w:ind w:firstLine="0" w:firstLineChars="0"/>
      <w:jc w:val="center"/>
    </w:pPr>
    <w:rPr>
      <w:rFonts w:ascii="宋体" w:hAnsi="宋体" w:cs="宋体"/>
      <w:kern w:val="0"/>
      <w:szCs w:val="24"/>
    </w:rPr>
  </w:style>
  <w:style w:type="paragraph" w:customStyle="1" w:styleId="91">
    <w:name w:val="段"/>
    <w:link w:val="92"/>
    <w:qFormat/>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lang w:val="en-US" w:eastAsia="zh-CN" w:bidi="ar-SA"/>
    </w:rPr>
  </w:style>
  <w:style w:type="character" w:customStyle="1" w:styleId="92">
    <w:name w:val="段 Char"/>
    <w:link w:val="91"/>
    <w:qFormat/>
    <w:uiPriority w:val="0"/>
    <w:rPr>
      <w:rFonts w:ascii="宋体" w:hAnsi="Times New Roman" w:eastAsia="宋体" w:cs="Times New Roman"/>
      <w:kern w:val="0"/>
      <w:szCs w:val="20"/>
    </w:rPr>
  </w:style>
  <w:style w:type="paragraph" w:customStyle="1" w:styleId="93">
    <w:name w:val="一级条标题"/>
    <w:next w:val="91"/>
    <w:qFormat/>
    <w:uiPriority w:val="0"/>
    <w:pPr>
      <w:numPr>
        <w:ilvl w:val="1"/>
        <w:numId w:val="1"/>
      </w:numPr>
      <w:spacing w:beforeLines="50" w:afterLines="50"/>
      <w:outlineLvl w:val="2"/>
    </w:pPr>
    <w:rPr>
      <w:rFonts w:ascii="黑体" w:hAnsi="Times New Roman" w:eastAsia="黑体" w:cs="Times New Roman"/>
      <w:sz w:val="21"/>
      <w:szCs w:val="21"/>
      <w:lang w:val="en-US" w:eastAsia="zh-CN" w:bidi="ar-SA"/>
    </w:rPr>
  </w:style>
  <w:style w:type="paragraph" w:customStyle="1" w:styleId="94">
    <w:name w:val="章标题"/>
    <w:next w:val="91"/>
    <w:qFormat/>
    <w:uiPriority w:val="0"/>
    <w:pPr>
      <w:numPr>
        <w:ilvl w:val="0"/>
        <w:numId w:val="1"/>
      </w:numPr>
      <w:spacing w:beforeLines="100" w:afterLines="100"/>
      <w:jc w:val="both"/>
      <w:outlineLvl w:val="1"/>
    </w:pPr>
    <w:rPr>
      <w:rFonts w:ascii="黑体" w:hAnsi="Times New Roman" w:eastAsia="黑体" w:cs="Times New Roman"/>
      <w:sz w:val="21"/>
      <w:lang w:val="en-US" w:eastAsia="zh-CN" w:bidi="ar-SA"/>
    </w:rPr>
  </w:style>
  <w:style w:type="paragraph" w:customStyle="1" w:styleId="95">
    <w:name w:val="二级条标题"/>
    <w:basedOn w:val="93"/>
    <w:next w:val="91"/>
    <w:qFormat/>
    <w:uiPriority w:val="0"/>
    <w:pPr>
      <w:numPr>
        <w:ilvl w:val="2"/>
      </w:numPr>
      <w:spacing w:before="50" w:after="50"/>
      <w:outlineLvl w:val="3"/>
    </w:pPr>
  </w:style>
  <w:style w:type="paragraph" w:customStyle="1" w:styleId="96">
    <w:name w:val="三级条标题"/>
    <w:basedOn w:val="95"/>
    <w:next w:val="91"/>
    <w:qFormat/>
    <w:uiPriority w:val="0"/>
    <w:pPr>
      <w:numPr>
        <w:ilvl w:val="3"/>
      </w:numPr>
      <w:outlineLvl w:val="4"/>
    </w:pPr>
  </w:style>
  <w:style w:type="paragraph" w:customStyle="1" w:styleId="97">
    <w:name w:val="四级条标题"/>
    <w:basedOn w:val="96"/>
    <w:next w:val="91"/>
    <w:qFormat/>
    <w:uiPriority w:val="0"/>
    <w:pPr>
      <w:numPr>
        <w:ilvl w:val="4"/>
      </w:numPr>
      <w:outlineLvl w:val="5"/>
    </w:pPr>
  </w:style>
  <w:style w:type="paragraph" w:customStyle="1" w:styleId="98">
    <w:name w:val="五级条标题"/>
    <w:basedOn w:val="97"/>
    <w:next w:val="91"/>
    <w:qFormat/>
    <w:uiPriority w:val="0"/>
    <w:pPr>
      <w:numPr>
        <w:ilvl w:val="5"/>
      </w:numPr>
      <w:outlineLvl w:val="6"/>
    </w:pPr>
  </w:style>
  <w:style w:type="paragraph" w:customStyle="1" w:styleId="99">
    <w:name w:val="正文图标题"/>
    <w:next w:val="91"/>
    <w:qFormat/>
    <w:uiPriority w:val="0"/>
    <w:pPr>
      <w:spacing w:beforeLines="50" w:afterLines="50"/>
      <w:jc w:val="center"/>
    </w:pPr>
    <w:rPr>
      <w:rFonts w:ascii="黑体" w:hAnsi="Times New Roman" w:eastAsia="黑体" w:cs="Times New Roman"/>
      <w:sz w:val="21"/>
      <w:lang w:val="en-US" w:eastAsia="zh-CN" w:bidi="ar-SA"/>
    </w:rPr>
  </w:style>
  <w:style w:type="paragraph" w:customStyle="1" w:styleId="100">
    <w:name w:val="其他发布日期"/>
    <w:basedOn w:val="1"/>
    <w:qFormat/>
    <w:uiPriority w:val="0"/>
    <w:pPr>
      <w:framePr w:w="3997" w:h="471" w:hRule="exact" w:vSpace="181" w:wrap="around" w:vAnchor="page" w:hAnchor="page" w:x="1419" w:y="14097" w:anchorLock="1"/>
      <w:widowControl/>
      <w:numPr>
        <w:ilvl w:val="0"/>
        <w:numId w:val="2"/>
      </w:numPr>
      <w:spacing w:line="240" w:lineRule="auto"/>
      <w:ind w:firstLineChars="0"/>
      <w:jc w:val="left"/>
    </w:pPr>
    <w:rPr>
      <w:rFonts w:eastAsia="黑体" w:cs="Times New Roman"/>
      <w:kern w:val="0"/>
      <w:sz w:val="28"/>
      <w:szCs w:val="20"/>
    </w:rPr>
  </w:style>
  <w:style w:type="paragraph" w:customStyle="1" w:styleId="101">
    <w:name w:val="注："/>
    <w:next w:val="91"/>
    <w:qFormat/>
    <w:uiPriority w:val="0"/>
    <w:pPr>
      <w:widowControl w:val="0"/>
      <w:numPr>
        <w:ilvl w:val="0"/>
        <w:numId w:val="3"/>
      </w:numPr>
      <w:autoSpaceDE w:val="0"/>
      <w:autoSpaceDN w:val="0"/>
      <w:jc w:val="both"/>
    </w:pPr>
    <w:rPr>
      <w:rFonts w:ascii="宋体" w:hAnsi="Times New Roman" w:eastAsia="宋体" w:cs="Times New Roman"/>
      <w:sz w:val="18"/>
      <w:szCs w:val="18"/>
      <w:lang w:val="en-US" w:eastAsia="zh-CN" w:bidi="ar-SA"/>
    </w:rPr>
  </w:style>
  <w:style w:type="paragraph" w:customStyle="1" w:styleId="102">
    <w:name w:val="正文表标题"/>
    <w:next w:val="91"/>
    <w:qFormat/>
    <w:uiPriority w:val="0"/>
    <w:pPr>
      <w:numPr>
        <w:ilvl w:val="0"/>
        <w:numId w:val="4"/>
      </w:numPr>
      <w:tabs>
        <w:tab w:val="left" w:pos="360"/>
      </w:tabs>
      <w:spacing w:beforeLines="50" w:afterLines="50"/>
      <w:jc w:val="center"/>
    </w:pPr>
    <w:rPr>
      <w:rFonts w:ascii="黑体" w:hAnsi="Times New Roman" w:eastAsia="黑体" w:cs="Times New Roman"/>
      <w:sz w:val="21"/>
      <w:lang w:val="en-US" w:eastAsia="zh-CN" w:bidi="ar-SA"/>
    </w:rPr>
  </w:style>
  <w:style w:type="paragraph" w:customStyle="1" w:styleId="103">
    <w:name w:val="Char Char Char Char"/>
    <w:basedOn w:val="1"/>
    <w:qFormat/>
    <w:uiPriority w:val="0"/>
    <w:pPr>
      <w:spacing w:line="240" w:lineRule="auto"/>
      <w:ind w:firstLine="0" w:firstLineChars="0"/>
    </w:pPr>
    <w:rPr>
      <w:rFonts w:cs="Times New Roman"/>
      <w:sz w:val="21"/>
      <w:szCs w:val="24"/>
    </w:rPr>
  </w:style>
  <w:style w:type="paragraph" w:customStyle="1" w:styleId="104">
    <w:name w:val="默认段落字体 Para Char"/>
    <w:basedOn w:val="1"/>
    <w:next w:val="1"/>
    <w:qFormat/>
    <w:uiPriority w:val="0"/>
    <w:pPr>
      <w:spacing w:line="360" w:lineRule="auto"/>
    </w:pPr>
    <w:rPr>
      <w:rFonts w:cs="Times New Roman"/>
      <w:sz w:val="28"/>
      <w:szCs w:val="20"/>
    </w:rPr>
  </w:style>
  <w:style w:type="table" w:customStyle="1" w:styleId="105">
    <w:name w:val="网格型1"/>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06">
    <w:name w:val="msonormal"/>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107">
    <w:name w:val="font9"/>
    <w:basedOn w:val="1"/>
    <w:qFormat/>
    <w:uiPriority w:val="0"/>
    <w:pPr>
      <w:widowControl/>
      <w:spacing w:before="100" w:beforeAutospacing="1" w:after="100" w:afterAutospacing="1" w:line="240" w:lineRule="auto"/>
      <w:ind w:firstLine="0" w:firstLineChars="0"/>
      <w:jc w:val="left"/>
    </w:pPr>
    <w:rPr>
      <w:rFonts w:ascii="黑体" w:hAnsi="黑体" w:eastAsia="黑体" w:cs="宋体"/>
      <w:color w:val="000000"/>
      <w:kern w:val="0"/>
      <w:sz w:val="21"/>
      <w:szCs w:val="21"/>
    </w:rPr>
  </w:style>
  <w:style w:type="paragraph" w:customStyle="1" w:styleId="108">
    <w:name w:val="xl7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黑体" w:hAnsi="黑体" w:eastAsia="黑体" w:cs="宋体"/>
      <w:color w:val="FF0000"/>
      <w:kern w:val="0"/>
      <w:sz w:val="21"/>
      <w:szCs w:val="21"/>
    </w:rPr>
  </w:style>
  <w:style w:type="paragraph" w:customStyle="1" w:styleId="109">
    <w:name w:val="xl7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黑体" w:hAnsi="黑体" w:eastAsia="黑体" w:cs="宋体"/>
      <w:kern w:val="0"/>
      <w:sz w:val="21"/>
      <w:szCs w:val="21"/>
    </w:rPr>
  </w:style>
  <w:style w:type="paragraph" w:customStyle="1" w:styleId="110">
    <w:name w:val="font10"/>
    <w:basedOn w:val="1"/>
    <w:qFormat/>
    <w:uiPriority w:val="0"/>
    <w:pPr>
      <w:widowControl/>
      <w:spacing w:before="100" w:beforeAutospacing="1" w:after="100" w:afterAutospacing="1" w:line="240" w:lineRule="auto"/>
      <w:ind w:firstLine="0" w:firstLineChars="0"/>
      <w:jc w:val="left"/>
    </w:pPr>
    <w:rPr>
      <w:rFonts w:ascii="宋体" w:hAnsi="宋体" w:cs="宋体"/>
      <w:color w:val="C45911"/>
      <w:kern w:val="0"/>
      <w:sz w:val="21"/>
      <w:szCs w:val="21"/>
    </w:rPr>
  </w:style>
  <w:style w:type="paragraph" w:customStyle="1" w:styleId="111">
    <w:name w:val="xl78"/>
    <w:basedOn w:val="1"/>
    <w:qFormat/>
    <w:uiPriority w:val="0"/>
    <w:pPr>
      <w:widowControl/>
      <w:pBdr>
        <w:left w:val="single" w:color="auto" w:sz="8" w:space="0"/>
        <w:bottom w:val="single" w:color="000000" w:sz="8" w:space="0"/>
        <w:right w:val="single" w:color="auto" w:sz="8" w:space="0"/>
      </w:pBdr>
      <w:spacing w:before="100" w:beforeAutospacing="1" w:after="100" w:afterAutospacing="1" w:line="240" w:lineRule="auto"/>
      <w:ind w:firstLine="0" w:firstLineChars="0"/>
      <w:jc w:val="center"/>
    </w:pPr>
    <w:rPr>
      <w:rFonts w:ascii="宋体" w:hAnsi="宋体" w:cs="宋体"/>
      <w:color w:val="000000"/>
      <w:kern w:val="0"/>
      <w:sz w:val="21"/>
      <w:szCs w:val="21"/>
    </w:rPr>
  </w:style>
  <w:style w:type="paragraph" w:customStyle="1" w:styleId="112">
    <w:name w:val="xl79"/>
    <w:basedOn w:val="1"/>
    <w:qFormat/>
    <w:uiPriority w:val="0"/>
    <w:pPr>
      <w:widowControl/>
      <w:pBdr>
        <w:top w:val="single" w:color="000000" w:sz="8" w:space="0"/>
        <w:left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color w:val="000000"/>
      <w:kern w:val="0"/>
      <w:sz w:val="21"/>
      <w:szCs w:val="21"/>
    </w:rPr>
  </w:style>
  <w:style w:type="paragraph" w:customStyle="1" w:styleId="113">
    <w:name w:val="xl80"/>
    <w:basedOn w:val="1"/>
    <w:qFormat/>
    <w:uiPriority w:val="0"/>
    <w:pPr>
      <w:widowControl/>
      <w:pBdr>
        <w:left w:val="single" w:color="auto" w:sz="8" w:space="0"/>
        <w:bottom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color w:val="000000"/>
      <w:kern w:val="0"/>
      <w:sz w:val="21"/>
      <w:szCs w:val="21"/>
    </w:rPr>
  </w:style>
  <w:style w:type="paragraph" w:customStyle="1" w:styleId="114">
    <w:name w:val="xl81"/>
    <w:basedOn w:val="1"/>
    <w:qFormat/>
    <w:uiPriority w:val="0"/>
    <w:pPr>
      <w:widowControl/>
      <w:pBdr>
        <w:top w:val="single" w:color="auto" w:sz="8" w:space="0"/>
        <w:left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color w:val="000000"/>
      <w:kern w:val="0"/>
      <w:sz w:val="21"/>
      <w:szCs w:val="21"/>
    </w:rPr>
  </w:style>
  <w:style w:type="paragraph" w:customStyle="1" w:styleId="115">
    <w:name w:val="xl82"/>
    <w:basedOn w:val="1"/>
    <w:qFormat/>
    <w:uiPriority w:val="0"/>
    <w:pPr>
      <w:widowControl/>
      <w:pBdr>
        <w:left w:val="single" w:color="auto" w:sz="8" w:space="0"/>
        <w:bottom w:val="single" w:color="000000" w:sz="8" w:space="0"/>
        <w:right w:val="single" w:color="auto" w:sz="8" w:space="0"/>
      </w:pBdr>
      <w:spacing w:before="100" w:beforeAutospacing="1" w:after="100" w:afterAutospacing="1" w:line="240" w:lineRule="auto"/>
      <w:ind w:firstLine="0" w:firstLineChars="0"/>
      <w:jc w:val="center"/>
    </w:pPr>
    <w:rPr>
      <w:rFonts w:ascii="宋体" w:hAnsi="宋体" w:cs="宋体"/>
      <w:color w:val="000000"/>
      <w:kern w:val="0"/>
      <w:sz w:val="21"/>
      <w:szCs w:val="21"/>
    </w:rPr>
  </w:style>
  <w:style w:type="paragraph" w:customStyle="1" w:styleId="116">
    <w:name w:val="xl83"/>
    <w:basedOn w:val="1"/>
    <w:qFormat/>
    <w:uiPriority w:val="0"/>
    <w:pPr>
      <w:widowControl/>
      <w:pBdr>
        <w:top w:val="single" w:color="000000" w:sz="8" w:space="0"/>
        <w:left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color w:val="000000"/>
      <w:kern w:val="0"/>
      <w:sz w:val="21"/>
      <w:szCs w:val="21"/>
    </w:rPr>
  </w:style>
  <w:style w:type="paragraph" w:customStyle="1" w:styleId="117">
    <w:name w:val="xl84"/>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color w:val="000000"/>
      <w:kern w:val="0"/>
      <w:sz w:val="21"/>
      <w:szCs w:val="21"/>
    </w:rPr>
  </w:style>
  <w:style w:type="paragraph" w:customStyle="1" w:styleId="118">
    <w:name w:val="xl85"/>
    <w:basedOn w:val="1"/>
    <w:qFormat/>
    <w:uiPriority w:val="0"/>
    <w:pPr>
      <w:widowControl/>
      <w:pBdr>
        <w:top w:val="single" w:color="auto" w:sz="8" w:space="0"/>
        <w:bottom w:val="single" w:color="auto" w:sz="8" w:space="0"/>
        <w:right w:val="single" w:color="auto" w:sz="8" w:space="0"/>
      </w:pBdr>
      <w:spacing w:before="100" w:beforeAutospacing="1" w:after="100" w:afterAutospacing="1" w:line="240" w:lineRule="auto"/>
      <w:ind w:firstLine="0" w:firstLineChars="0"/>
      <w:jc w:val="center"/>
    </w:pPr>
    <w:rPr>
      <w:rFonts w:cs="Times New Roman"/>
      <w:kern w:val="0"/>
      <w:sz w:val="21"/>
      <w:szCs w:val="21"/>
    </w:rPr>
  </w:style>
  <w:style w:type="character" w:customStyle="1" w:styleId="119">
    <w:name w:val="NormalCharacter"/>
    <w:semiHidden/>
    <w:qFormat/>
    <w:uiPriority w:val="0"/>
  </w:style>
  <w:style w:type="table" w:customStyle="1" w:styleId="120">
    <w:name w:val="网格型2"/>
    <w:basedOn w:val="29"/>
    <w:qFormat/>
    <w:uiPriority w:val="0"/>
    <w:pPr>
      <w:widowControl w:val="0"/>
      <w:jc w:val="both"/>
    </w:pPr>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21">
    <w:name w:val="Char"/>
    <w:basedOn w:val="1"/>
    <w:qFormat/>
    <w:uiPriority w:val="0"/>
    <w:pPr>
      <w:snapToGrid w:val="0"/>
      <w:spacing w:line="360" w:lineRule="auto"/>
    </w:pPr>
    <w:rPr>
      <w:rFonts w:cs="Times New Roman"/>
      <w:sz w:val="21"/>
      <w:szCs w:val="24"/>
    </w:rPr>
  </w:style>
  <w:style w:type="table" w:customStyle="1" w:styleId="122">
    <w:name w:val="网格型3"/>
    <w:basedOn w:val="29"/>
    <w:qFormat/>
    <w:uiPriority w:val="0"/>
    <w:pPr>
      <w:widowControl w:val="0"/>
      <w:jc w:val="both"/>
    </w:pPr>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23">
    <w:name w:val="Table Paragraph"/>
    <w:basedOn w:val="1"/>
    <w:qFormat/>
    <w:uiPriority w:val="1"/>
    <w:pPr>
      <w:autoSpaceDE w:val="0"/>
      <w:autoSpaceDN w:val="0"/>
      <w:adjustRightInd w:val="0"/>
      <w:spacing w:line="240" w:lineRule="auto"/>
      <w:ind w:firstLine="0" w:firstLineChars="0"/>
      <w:jc w:val="left"/>
    </w:pPr>
    <w:rPr>
      <w:rFonts w:cs="Times New Roman" w:eastAsiaTheme="minorEastAsia"/>
      <w:kern w:val="0"/>
      <w:szCs w:val="24"/>
    </w:rPr>
  </w:style>
  <w:style w:type="paragraph" w:customStyle="1" w:styleId="124">
    <w:name w:val="xl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25">
    <w:name w:val="xl87"/>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26">
    <w:name w:val="xl88"/>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27">
    <w:name w:val="xl8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28">
    <w:name w:val="xl9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29">
    <w:name w:val="xl91"/>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30">
    <w:name w:val="xl92"/>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31">
    <w:name w:val="xl9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32">
    <w:name w:val="xl94"/>
    <w:basedOn w:val="1"/>
    <w:qFormat/>
    <w:uiPriority w:val="0"/>
    <w:pPr>
      <w:widowControl/>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33">
    <w:name w:val="xl9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34">
    <w:name w:val="xl96"/>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35">
    <w:name w:val="xl97"/>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36">
    <w:name w:val="xl9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37">
    <w:name w:val="xl99"/>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38">
    <w:name w:val="xl100"/>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39">
    <w:name w:val="xl101"/>
    <w:basedOn w:val="1"/>
    <w:qFormat/>
    <w:uiPriority w:val="0"/>
    <w:pPr>
      <w:widowControl/>
      <w:pBdr>
        <w:left w:val="single" w:color="auto" w:sz="4" w:space="0"/>
        <w:bottom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40">
    <w:name w:val="xl102"/>
    <w:basedOn w:val="1"/>
    <w:qFormat/>
    <w:uiPriority w:val="0"/>
    <w:pPr>
      <w:widowControl/>
      <w:pBdr>
        <w:bottom w:val="single" w:color="auto" w:sz="4" w:space="0"/>
        <w:right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41">
    <w:name w:val="xl103"/>
    <w:basedOn w:val="1"/>
    <w:qFormat/>
    <w:uiPriority w:val="0"/>
    <w:pPr>
      <w:widowControl/>
      <w:pBdr>
        <w:top w:val="single" w:color="auto" w:sz="4" w:space="0"/>
        <w:left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42">
    <w:name w:val="xl104"/>
    <w:basedOn w:val="1"/>
    <w:qFormat/>
    <w:uiPriority w:val="0"/>
    <w:pPr>
      <w:widowControl/>
      <w:pBdr>
        <w:top w:val="single" w:color="auto" w:sz="4" w:space="0"/>
        <w:right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43">
    <w:name w:val="xl105"/>
    <w:basedOn w:val="1"/>
    <w:qFormat/>
    <w:uiPriority w:val="0"/>
    <w:pPr>
      <w:widowControl/>
      <w:pBdr>
        <w:left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44">
    <w:name w:val="xl106"/>
    <w:basedOn w:val="1"/>
    <w:qFormat/>
    <w:uiPriority w:val="0"/>
    <w:pPr>
      <w:widowControl/>
      <w:pBdr>
        <w:right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45">
    <w:name w:val="xl107"/>
    <w:basedOn w:val="1"/>
    <w:qFormat/>
    <w:uiPriority w:val="0"/>
    <w:pPr>
      <w:widowControl/>
      <w:pBdr>
        <w:left w:val="single" w:color="auto" w:sz="4" w:space="0"/>
        <w:bottom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46">
    <w:name w:val="xl108"/>
    <w:basedOn w:val="1"/>
    <w:qFormat/>
    <w:uiPriority w:val="0"/>
    <w:pPr>
      <w:widowControl/>
      <w:pBdr>
        <w:bottom w:val="single" w:color="auto" w:sz="4" w:space="0"/>
        <w:right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47">
    <w:name w:val="xl109"/>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48">
    <w:name w:val="xl110"/>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49">
    <w:name w:val="xl111"/>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50">
    <w:name w:val="xl112"/>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51">
    <w:name w:val="xl113"/>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52">
    <w:name w:val="xl114"/>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53">
    <w:name w:val="xl115"/>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54">
    <w:name w:val="xl116"/>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55">
    <w:name w:val="xl117"/>
    <w:basedOn w:val="1"/>
    <w:qFormat/>
    <w:uiPriority w:val="0"/>
    <w:pPr>
      <w:widowControl/>
      <w:spacing w:before="100" w:beforeAutospacing="1" w:after="100" w:afterAutospacing="1" w:line="240" w:lineRule="auto"/>
      <w:ind w:firstLine="0" w:firstLineChars="0"/>
      <w:jc w:val="center"/>
      <w:textAlignment w:val="center"/>
    </w:pPr>
    <w:rPr>
      <w:rFonts w:cs="Times New Roman"/>
      <w:kern w:val="0"/>
      <w:szCs w:val="24"/>
    </w:rPr>
  </w:style>
  <w:style w:type="paragraph" w:customStyle="1" w:styleId="156">
    <w:name w:val="xl118"/>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center"/>
      <w:textAlignment w:val="center"/>
    </w:pPr>
    <w:rPr>
      <w:rFonts w:ascii="宋体" w:hAnsi="宋体" w:cs="宋体"/>
      <w:kern w:val="0"/>
      <w:szCs w:val="24"/>
    </w:rPr>
  </w:style>
  <w:style w:type="paragraph" w:customStyle="1" w:styleId="157">
    <w:name w:val="xl119"/>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left"/>
      <w:textAlignment w:val="center"/>
    </w:pPr>
    <w:rPr>
      <w:rFonts w:cs="Times New Roman"/>
      <w:kern w:val="0"/>
      <w:szCs w:val="24"/>
    </w:rPr>
  </w:style>
  <w:style w:type="paragraph" w:customStyle="1" w:styleId="158">
    <w:name w:val="xl120"/>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cs="Times New Roman"/>
      <w:kern w:val="0"/>
      <w:szCs w:val="24"/>
    </w:rPr>
  </w:style>
  <w:style w:type="paragraph" w:customStyle="1" w:styleId="159">
    <w:name w:val="xl121"/>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left"/>
      <w:textAlignment w:val="center"/>
    </w:pPr>
    <w:rPr>
      <w:rFonts w:cs="Times New Roman"/>
      <w:kern w:val="0"/>
      <w:szCs w:val="24"/>
    </w:rPr>
  </w:style>
  <w:style w:type="paragraph" w:customStyle="1" w:styleId="160">
    <w:name w:val="xl122"/>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cs="Times New Roman"/>
      <w:kern w:val="0"/>
      <w:szCs w:val="24"/>
    </w:rPr>
  </w:style>
  <w:style w:type="paragraph" w:customStyle="1" w:styleId="161">
    <w:name w:val="xl123"/>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left"/>
      <w:textAlignment w:val="center"/>
    </w:pPr>
    <w:rPr>
      <w:rFonts w:cs="Times New Roman"/>
      <w:kern w:val="0"/>
      <w:szCs w:val="24"/>
    </w:rPr>
  </w:style>
  <w:style w:type="paragraph" w:customStyle="1" w:styleId="162">
    <w:name w:val="xl124"/>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cs="Times New Roman"/>
      <w:kern w:val="0"/>
      <w:szCs w:val="24"/>
    </w:rPr>
  </w:style>
  <w:style w:type="paragraph" w:customStyle="1" w:styleId="163">
    <w:name w:val="xl125"/>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left"/>
      <w:textAlignment w:val="center"/>
    </w:pPr>
    <w:rPr>
      <w:rFonts w:cs="Times New Roman"/>
      <w:kern w:val="0"/>
      <w:szCs w:val="24"/>
    </w:rPr>
  </w:style>
  <w:style w:type="paragraph" w:customStyle="1" w:styleId="164">
    <w:name w:val="xl126"/>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cs="Times New Roman"/>
      <w:kern w:val="0"/>
      <w:szCs w:val="24"/>
    </w:rPr>
  </w:style>
  <w:style w:type="paragraph" w:customStyle="1" w:styleId="165">
    <w:name w:val="xl127"/>
    <w:basedOn w:val="1"/>
    <w:qFormat/>
    <w:uiPriority w:val="0"/>
    <w:pPr>
      <w:widowControl/>
      <w:spacing w:before="100" w:beforeAutospacing="1" w:after="100" w:afterAutospacing="1" w:line="240" w:lineRule="auto"/>
      <w:ind w:firstLine="0" w:firstLineChars="0"/>
      <w:jc w:val="left"/>
      <w:textAlignment w:val="center"/>
    </w:pPr>
    <w:rPr>
      <w:rFonts w:cs="Times New Roman"/>
      <w:kern w:val="0"/>
      <w:szCs w:val="24"/>
    </w:rPr>
  </w:style>
  <w:style w:type="paragraph" w:customStyle="1" w:styleId="166">
    <w:name w:val="xl128"/>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cs="Times New Roman"/>
      <w:kern w:val="0"/>
      <w:szCs w:val="24"/>
    </w:rPr>
  </w:style>
  <w:style w:type="paragraph" w:customStyle="1" w:styleId="167">
    <w:name w:val="xl129"/>
    <w:basedOn w:val="1"/>
    <w:qFormat/>
    <w:uiPriority w:val="0"/>
    <w:pPr>
      <w:widowControl/>
      <w:spacing w:before="100" w:beforeAutospacing="1" w:after="100" w:afterAutospacing="1" w:line="240" w:lineRule="auto"/>
      <w:ind w:firstLine="0" w:firstLineChars="0"/>
      <w:jc w:val="left"/>
      <w:textAlignment w:val="center"/>
    </w:pPr>
    <w:rPr>
      <w:rFonts w:cs="Times New Roman"/>
      <w:kern w:val="0"/>
      <w:szCs w:val="24"/>
    </w:rPr>
  </w:style>
</w:style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91" Type="http://schemas.openxmlformats.org/officeDocument/2006/relationships/fontTable" Target="fontTable.xml"/><Relationship Id="rId90" Type="http://schemas.microsoft.com/office/2006/relationships/keyMapCustomizations" Target="customizations.xml"/><Relationship Id="rId9" Type="http://schemas.openxmlformats.org/officeDocument/2006/relationships/theme" Target="theme/theme1.xml"/><Relationship Id="rId89" Type="http://schemas.openxmlformats.org/officeDocument/2006/relationships/customXml" Target="../customXml/item2.xml"/><Relationship Id="rId88" Type="http://schemas.openxmlformats.org/officeDocument/2006/relationships/numbering" Target="numbering.xml"/><Relationship Id="rId87" Type="http://schemas.openxmlformats.org/officeDocument/2006/relationships/customXml" Target="../customXml/item1.xml"/><Relationship Id="rId86" Type="http://schemas.openxmlformats.org/officeDocument/2006/relationships/image" Target="media/image76.jpeg"/><Relationship Id="rId85" Type="http://schemas.openxmlformats.org/officeDocument/2006/relationships/image" Target="media/image75.png"/><Relationship Id="rId84" Type="http://schemas.openxmlformats.org/officeDocument/2006/relationships/image" Target="media/image74.jpeg"/><Relationship Id="rId83" Type="http://schemas.openxmlformats.org/officeDocument/2006/relationships/image" Target="media/image73.png"/><Relationship Id="rId82" Type="http://schemas.openxmlformats.org/officeDocument/2006/relationships/image" Target="media/image72.jpeg"/><Relationship Id="rId81" Type="http://schemas.openxmlformats.org/officeDocument/2006/relationships/image" Target="media/image71.wmf"/><Relationship Id="rId80" Type="http://schemas.openxmlformats.org/officeDocument/2006/relationships/oleObject" Target="embeddings/oleObject1.bin"/><Relationship Id="rId8" Type="http://schemas.openxmlformats.org/officeDocument/2006/relationships/header" Target="header2.xm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jpeg"/><Relationship Id="rId75" Type="http://schemas.openxmlformats.org/officeDocument/2006/relationships/image" Target="media/image66.emf"/><Relationship Id="rId74" Type="http://schemas.openxmlformats.org/officeDocument/2006/relationships/image" Target="media/image65.jpeg"/><Relationship Id="rId73" Type="http://schemas.openxmlformats.org/officeDocument/2006/relationships/image" Target="media/image64.jpeg"/><Relationship Id="rId72" Type="http://schemas.openxmlformats.org/officeDocument/2006/relationships/image" Target="media/image63.jpeg"/><Relationship Id="rId71" Type="http://schemas.openxmlformats.org/officeDocument/2006/relationships/image" Target="media/image62.jpeg"/><Relationship Id="rId70" Type="http://schemas.openxmlformats.org/officeDocument/2006/relationships/image" Target="media/image61.jpeg"/><Relationship Id="rId7" Type="http://schemas.openxmlformats.org/officeDocument/2006/relationships/footer" Target="footer2.xml"/><Relationship Id="rId69" Type="http://schemas.openxmlformats.org/officeDocument/2006/relationships/image" Target="media/image60.jpeg"/><Relationship Id="rId68" Type="http://schemas.openxmlformats.org/officeDocument/2006/relationships/image" Target="media/image59.jpeg"/><Relationship Id="rId67" Type="http://schemas.openxmlformats.org/officeDocument/2006/relationships/image" Target="media/image58.jpeg"/><Relationship Id="rId66" Type="http://schemas.openxmlformats.org/officeDocument/2006/relationships/image" Target="media/image57.jpeg"/><Relationship Id="rId65" Type="http://schemas.openxmlformats.org/officeDocument/2006/relationships/image" Target="media/image56.jpeg"/><Relationship Id="rId64" Type="http://schemas.openxmlformats.org/officeDocument/2006/relationships/image" Target="media/image55.jpeg"/><Relationship Id="rId63" Type="http://schemas.openxmlformats.org/officeDocument/2006/relationships/image" Target="media/image54.jpeg"/><Relationship Id="rId62" Type="http://schemas.openxmlformats.org/officeDocument/2006/relationships/image" Target="media/image53.jpeg"/><Relationship Id="rId61" Type="http://schemas.openxmlformats.org/officeDocument/2006/relationships/image" Target="media/image52.jpeg"/><Relationship Id="rId60" Type="http://schemas.openxmlformats.org/officeDocument/2006/relationships/image" Target="media/image51.jpeg"/><Relationship Id="rId6" Type="http://schemas.openxmlformats.org/officeDocument/2006/relationships/footer" Target="footer1.xml"/><Relationship Id="rId59" Type="http://schemas.openxmlformats.org/officeDocument/2006/relationships/image" Target="media/image50.jpeg"/><Relationship Id="rId58" Type="http://schemas.openxmlformats.org/officeDocument/2006/relationships/image" Target="media/image49.jpeg"/><Relationship Id="rId57" Type="http://schemas.openxmlformats.org/officeDocument/2006/relationships/image" Target="media/image48.jpeg"/><Relationship Id="rId56" Type="http://schemas.openxmlformats.org/officeDocument/2006/relationships/image" Target="media/image47.jpeg"/><Relationship Id="rId55" Type="http://schemas.openxmlformats.org/officeDocument/2006/relationships/image" Target="media/image46.jpeg"/><Relationship Id="rId54" Type="http://schemas.openxmlformats.org/officeDocument/2006/relationships/image" Target="media/image45.jpeg"/><Relationship Id="rId53" Type="http://schemas.openxmlformats.org/officeDocument/2006/relationships/image" Target="media/image44.jpeg"/><Relationship Id="rId52" Type="http://schemas.openxmlformats.org/officeDocument/2006/relationships/image" Target="media/image43.jpeg"/><Relationship Id="rId51" Type="http://schemas.openxmlformats.org/officeDocument/2006/relationships/image" Target="media/image42.jpeg"/><Relationship Id="rId50" Type="http://schemas.openxmlformats.org/officeDocument/2006/relationships/image" Target="media/image41.jpeg"/><Relationship Id="rId5" Type="http://schemas.openxmlformats.org/officeDocument/2006/relationships/header" Target="header1.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jpeg"/><Relationship Id="rId46" Type="http://schemas.openxmlformats.org/officeDocument/2006/relationships/image" Target="media/image37.jpeg"/><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jpeg"/><Relationship Id="rId4" Type="http://schemas.openxmlformats.org/officeDocument/2006/relationships/endnotes" Target="endnotes.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footnotes" Target="footnotes.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E31CC96-0606-4032-A3FB-53D6D4D30CB7}">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110</Pages>
  <Words>60413</Words>
  <Characters>67559</Characters>
  <Lines>580</Lines>
  <Paragraphs>163</Paragraphs>
  <TotalTime>27</TotalTime>
  <ScaleCrop>false</ScaleCrop>
  <LinksUpToDate>false</LinksUpToDate>
  <CharactersWithSpaces>68029</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2020-06-19T13:42:00Z</dcterms:created>
  <dc:creator>lx</dc:creator>
  <cp:lastModifiedBy>Administrator</cp:lastModifiedBy>
  <cp:lastPrinted>2020-07-06T02:46:00Z</cp:lastPrinted>
  <dcterms:modified xsi:type="dcterms:W3CDTF">2022-11-23T04:15:36Z</dcterms:modified>
  <cp:revision>170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52351B0929F045D987A0B7B703A17668</vt:lpwstr>
  </property>
</Properties>
</file>