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480" w:lineRule="atLeast"/>
        <w:jc w:val="center"/>
        <w:rPr>
          <w:rStyle w:val="15"/>
          <w:color w:val="000000"/>
          <w:sz w:val="44"/>
          <w:szCs w:val="44"/>
        </w:rPr>
      </w:pPr>
    </w:p>
    <w:p>
      <w:pPr>
        <w:pStyle w:val="7"/>
        <w:spacing w:before="0" w:beforeAutospacing="0" w:after="0" w:afterAutospacing="0" w:line="480" w:lineRule="atLeast"/>
        <w:jc w:val="center"/>
        <w:rPr>
          <w:rStyle w:val="15"/>
          <w:color w:val="000000"/>
          <w:sz w:val="44"/>
          <w:szCs w:val="44"/>
        </w:rPr>
      </w:pPr>
    </w:p>
    <w:p>
      <w:pPr>
        <w:pStyle w:val="7"/>
        <w:spacing w:before="0" w:beforeAutospacing="0" w:after="0" w:afterAutospacing="0" w:line="480" w:lineRule="atLeast"/>
        <w:jc w:val="center"/>
        <w:rPr>
          <w:rStyle w:val="15"/>
          <w:color w:val="000000"/>
          <w:sz w:val="44"/>
          <w:szCs w:val="44"/>
        </w:rPr>
      </w:pPr>
    </w:p>
    <w:p>
      <w:pPr>
        <w:pStyle w:val="7"/>
        <w:spacing w:before="0" w:beforeAutospacing="0" w:after="0" w:afterAutospacing="0" w:line="480" w:lineRule="atLeast"/>
        <w:jc w:val="center"/>
        <w:rPr>
          <w:rStyle w:val="15"/>
          <w:color w:val="000000"/>
          <w:sz w:val="44"/>
          <w:szCs w:val="44"/>
        </w:rPr>
      </w:pPr>
    </w:p>
    <w:p>
      <w:pPr>
        <w:pStyle w:val="7"/>
        <w:spacing w:before="0" w:beforeAutospacing="0" w:after="0" w:afterAutospacing="0" w:line="480" w:lineRule="atLeast"/>
        <w:jc w:val="center"/>
        <w:rPr>
          <w:rStyle w:val="15"/>
          <w:rFonts w:hint="eastAsia" w:ascii="仿宋" w:hAnsi="仿宋" w:eastAsia="仿宋" w:cs="仿宋"/>
          <w:b w:val="0"/>
          <w:bCs w:val="0"/>
          <w:color w:val="000000"/>
          <w:sz w:val="32"/>
          <w:szCs w:val="32"/>
          <w:lang w:val="en-US" w:eastAsia="zh-CN"/>
        </w:rPr>
      </w:pPr>
      <w:r>
        <w:rPr>
          <w:rStyle w:val="15"/>
          <w:rFonts w:hint="eastAsia" w:ascii="仿宋" w:hAnsi="仿宋" w:eastAsia="仿宋" w:cs="仿宋"/>
          <w:b w:val="0"/>
          <w:bCs w:val="0"/>
          <w:color w:val="000000"/>
          <w:sz w:val="32"/>
          <w:szCs w:val="32"/>
          <w:lang w:val="en-US" w:eastAsia="zh-CN"/>
        </w:rPr>
        <w:t>保政办发〔2022〕</w:t>
      </w:r>
      <w:r>
        <w:rPr>
          <w:rStyle w:val="15"/>
          <w:rFonts w:hint="default" w:ascii="仿宋" w:hAnsi="仿宋" w:eastAsia="仿宋" w:cs="仿宋"/>
          <w:b w:val="0"/>
          <w:bCs w:val="0"/>
          <w:color w:val="000000"/>
          <w:sz w:val="32"/>
          <w:szCs w:val="32"/>
          <w:lang w:val="en-US" w:eastAsia="zh-CN"/>
        </w:rPr>
        <w:t>60</w:t>
      </w:r>
      <w:r>
        <w:rPr>
          <w:rStyle w:val="15"/>
          <w:rFonts w:hint="eastAsia" w:ascii="仿宋" w:hAnsi="仿宋" w:eastAsia="仿宋" w:cs="仿宋"/>
          <w:b w:val="0"/>
          <w:bCs w:val="0"/>
          <w:color w:val="000000"/>
          <w:sz w:val="32"/>
          <w:szCs w:val="32"/>
          <w:lang w:val="en-US" w:eastAsia="zh-CN"/>
        </w:rPr>
        <w:t>号</w:t>
      </w:r>
    </w:p>
    <w:p>
      <w:pPr>
        <w:pStyle w:val="7"/>
        <w:spacing w:before="0" w:beforeAutospacing="0" w:after="0" w:afterAutospacing="0" w:line="480" w:lineRule="atLeast"/>
        <w:jc w:val="center"/>
        <w:rPr>
          <w:rStyle w:val="15"/>
          <w:rFonts w:hint="eastAsia" w:ascii="仿宋" w:hAnsi="仿宋" w:eastAsia="仿宋" w:cs="仿宋"/>
          <w:b w:val="0"/>
          <w:bCs w:val="0"/>
          <w:color w:val="000000"/>
          <w:sz w:val="32"/>
          <w:szCs w:val="32"/>
          <w:lang w:val="en-US" w:eastAsia="zh-CN"/>
        </w:rPr>
      </w:pP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800" w:lineRule="exact"/>
        <w:jc w:val="center"/>
        <w:textAlignment w:val="auto"/>
        <w:rPr>
          <w:rFonts w:hint="eastAsia" w:ascii="宋体" w:hAnsi="宋体" w:eastAsia="宋体" w:cs="宋体"/>
          <w:b/>
          <w:bCs/>
          <w:color w:val="000000"/>
          <w:sz w:val="44"/>
          <w:szCs w:val="44"/>
          <w:lang w:eastAsia="zh-CN"/>
        </w:rPr>
      </w:pPr>
      <w:r>
        <w:rPr>
          <w:rStyle w:val="15"/>
          <w:rFonts w:hint="eastAsia" w:ascii="宋体" w:hAnsi="宋体" w:eastAsia="宋体" w:cs="宋体"/>
          <w:b/>
          <w:bCs/>
          <w:color w:val="000000"/>
          <w:sz w:val="44"/>
          <w:szCs w:val="44"/>
        </w:rPr>
        <w:t>保德县人民政府</w:t>
      </w:r>
      <w:r>
        <w:rPr>
          <w:rStyle w:val="15"/>
          <w:rFonts w:hint="eastAsia" w:ascii="宋体" w:hAnsi="宋体" w:eastAsia="宋体" w:cs="宋体"/>
          <w:b/>
          <w:bCs/>
          <w:color w:val="000000"/>
          <w:sz w:val="44"/>
          <w:szCs w:val="44"/>
          <w:lang w:eastAsia="zh-CN"/>
        </w:rPr>
        <w:t>办公室</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800" w:lineRule="exact"/>
        <w:jc w:val="center"/>
        <w:textAlignment w:val="auto"/>
        <w:rPr>
          <w:rFonts w:hint="eastAsia" w:ascii="宋体" w:hAnsi="宋体" w:eastAsia="宋体" w:cs="宋体"/>
          <w:b/>
          <w:bCs/>
          <w:color w:val="000000"/>
          <w:sz w:val="44"/>
          <w:szCs w:val="44"/>
        </w:rPr>
      </w:pPr>
      <w:r>
        <w:rPr>
          <w:rStyle w:val="15"/>
          <w:rFonts w:hint="eastAsia" w:ascii="宋体" w:hAnsi="宋体" w:eastAsia="宋体" w:cs="宋体"/>
          <w:b/>
          <w:bCs/>
          <w:color w:val="000000"/>
          <w:sz w:val="44"/>
          <w:szCs w:val="44"/>
        </w:rPr>
        <w:t>关于印发保德县消防事业发展“十四五”规划</w:t>
      </w:r>
      <w:r>
        <w:rPr>
          <w:rStyle w:val="15"/>
          <w:rFonts w:hint="eastAsia" w:ascii="宋体" w:hAnsi="宋体" w:eastAsia="宋体" w:cs="宋体"/>
          <w:b/>
          <w:bCs/>
          <w:color w:val="000000"/>
          <w:sz w:val="44"/>
          <w:szCs w:val="44"/>
          <w:lang w:eastAsia="zh-CN"/>
        </w:rPr>
        <w:t>（</w:t>
      </w:r>
      <w:r>
        <w:rPr>
          <w:rStyle w:val="15"/>
          <w:rFonts w:hint="eastAsia" w:ascii="宋体" w:hAnsi="宋体" w:eastAsia="宋体" w:cs="宋体"/>
          <w:b/>
          <w:bCs/>
          <w:color w:val="000000"/>
          <w:sz w:val="44"/>
          <w:szCs w:val="44"/>
          <w:lang w:val="en-US" w:eastAsia="zh-CN"/>
        </w:rPr>
        <w:t>2021—2025</w:t>
      </w:r>
      <w:r>
        <w:rPr>
          <w:rStyle w:val="15"/>
          <w:rFonts w:hint="eastAsia" w:ascii="宋体" w:hAnsi="宋体" w:eastAsia="宋体" w:cs="宋体"/>
          <w:b/>
          <w:bCs/>
          <w:color w:val="000000"/>
          <w:sz w:val="44"/>
          <w:szCs w:val="44"/>
          <w:lang w:eastAsia="zh-CN"/>
        </w:rPr>
        <w:t>）</w:t>
      </w:r>
      <w:r>
        <w:rPr>
          <w:rStyle w:val="15"/>
          <w:rFonts w:hint="eastAsia" w:ascii="宋体" w:hAnsi="宋体" w:eastAsia="宋体" w:cs="宋体"/>
          <w:b/>
          <w:bCs/>
          <w:color w:val="000000"/>
          <w:sz w:val="44"/>
          <w:szCs w:val="44"/>
        </w:rPr>
        <w:t>的通知</w:t>
      </w:r>
    </w:p>
    <w:p>
      <w:pPr>
        <w:pStyle w:val="7"/>
        <w:spacing w:before="0" w:beforeAutospacing="0" w:after="0" w:afterAutospacing="0"/>
        <w:rPr>
          <w:rFonts w:ascii="微软雅黑" w:hAnsi="微软雅黑" w:eastAsia="微软雅黑"/>
          <w:color w:val="000000"/>
        </w:rPr>
      </w:pPr>
    </w:p>
    <w:p>
      <w:pPr>
        <w:pStyle w:val="7"/>
        <w:spacing w:before="0" w:beforeAutospacing="0" w:after="0" w:afterAutospacing="0" w:line="360" w:lineRule="auto"/>
        <w:rPr>
          <w:rFonts w:ascii="仿宋" w:hAnsi="仿宋" w:eastAsia="仿宋"/>
          <w:color w:val="000000"/>
          <w:sz w:val="32"/>
          <w:szCs w:val="32"/>
        </w:rPr>
      </w:pPr>
      <w:r>
        <w:rPr>
          <w:rFonts w:hint="eastAsia" w:ascii="仿宋" w:hAnsi="仿宋" w:eastAsia="仿宋"/>
          <w:color w:val="000000"/>
          <w:sz w:val="32"/>
          <w:szCs w:val="32"/>
        </w:rPr>
        <w:t>各乡</w:t>
      </w:r>
      <w:r>
        <w:rPr>
          <w:rFonts w:hint="eastAsia" w:ascii="仿宋" w:hAnsi="仿宋" w:eastAsia="仿宋"/>
          <w:color w:val="000000"/>
          <w:sz w:val="32"/>
          <w:szCs w:val="32"/>
          <w:lang w:eastAsia="zh-CN"/>
        </w:rPr>
        <w:t>（</w:t>
      </w:r>
      <w:r>
        <w:rPr>
          <w:rFonts w:hint="eastAsia" w:ascii="仿宋" w:hAnsi="仿宋" w:eastAsia="仿宋"/>
          <w:color w:val="000000"/>
          <w:sz w:val="32"/>
          <w:szCs w:val="32"/>
        </w:rPr>
        <w:t>镇</w:t>
      </w:r>
      <w:r>
        <w:rPr>
          <w:rFonts w:hint="eastAsia" w:ascii="仿宋" w:hAnsi="仿宋" w:eastAsia="仿宋"/>
          <w:color w:val="000000"/>
          <w:sz w:val="32"/>
          <w:szCs w:val="32"/>
          <w:lang w:eastAsia="zh-CN"/>
        </w:rPr>
        <w:t>）人民政府</w:t>
      </w:r>
      <w:r>
        <w:rPr>
          <w:rFonts w:hint="eastAsia" w:ascii="仿宋" w:hAnsi="仿宋" w:eastAsia="仿宋"/>
          <w:color w:val="000000"/>
          <w:sz w:val="32"/>
          <w:szCs w:val="32"/>
        </w:rPr>
        <w:t>，县</w:t>
      </w:r>
      <w:r>
        <w:rPr>
          <w:rFonts w:hint="eastAsia" w:ascii="仿宋" w:hAnsi="仿宋" w:eastAsia="仿宋"/>
          <w:color w:val="000000"/>
          <w:sz w:val="32"/>
          <w:szCs w:val="32"/>
          <w:lang w:eastAsia="zh-CN"/>
        </w:rPr>
        <w:t>人民政府各工作部门：</w:t>
      </w:r>
    </w:p>
    <w:p>
      <w:pPr>
        <w:pStyle w:val="7"/>
        <w:spacing w:before="0" w:beforeAutospacing="0" w:after="0" w:afterAutospacing="0" w:line="360" w:lineRule="auto"/>
        <w:rPr>
          <w:rFonts w:ascii="仿宋" w:hAnsi="仿宋" w:eastAsia="仿宋"/>
          <w:color w:val="000000"/>
          <w:sz w:val="32"/>
          <w:szCs w:val="32"/>
        </w:rPr>
      </w:pPr>
      <w:r>
        <w:rPr>
          <w:rFonts w:hint="eastAsia" w:ascii="仿宋" w:hAnsi="仿宋" w:eastAsia="仿宋"/>
          <w:color w:val="000000"/>
          <w:sz w:val="32"/>
          <w:szCs w:val="32"/>
        </w:rPr>
        <w:t>　　《保德县消防事业发展“十四五”规划（2021—2025）》</w:t>
      </w:r>
      <w:r>
        <w:rPr>
          <w:rFonts w:hint="eastAsia" w:ascii="仿宋" w:hAnsi="仿宋" w:eastAsia="仿宋"/>
          <w:color w:val="000000"/>
          <w:sz w:val="32"/>
          <w:szCs w:val="32"/>
          <w:lang w:eastAsia="zh-CN"/>
        </w:rPr>
        <w:t>已经</w:t>
      </w:r>
      <w:r>
        <w:rPr>
          <w:rFonts w:hint="eastAsia" w:ascii="仿宋" w:hAnsi="仿宋" w:eastAsia="仿宋"/>
          <w:color w:val="000000"/>
          <w:sz w:val="32"/>
          <w:szCs w:val="32"/>
          <w:lang w:val="en-US" w:eastAsia="zh-CN"/>
        </w:rPr>
        <w:t>2022年12月15日</w:t>
      </w:r>
      <w:r>
        <w:rPr>
          <w:rFonts w:hint="eastAsia" w:ascii="仿宋" w:hAnsi="仿宋" w:eastAsia="仿宋"/>
          <w:color w:val="000000"/>
          <w:sz w:val="32"/>
          <w:szCs w:val="32"/>
        </w:rPr>
        <w:t>县政府</w:t>
      </w:r>
      <w:r>
        <w:rPr>
          <w:rFonts w:hint="eastAsia" w:ascii="仿宋" w:hAnsi="仿宋" w:eastAsia="仿宋"/>
          <w:color w:val="000000"/>
          <w:sz w:val="32"/>
          <w:szCs w:val="32"/>
          <w:lang w:eastAsia="zh-CN"/>
        </w:rPr>
        <w:t>第</w:t>
      </w:r>
      <w:r>
        <w:rPr>
          <w:rFonts w:hint="eastAsia" w:ascii="仿宋" w:hAnsi="仿宋" w:eastAsia="仿宋"/>
          <w:color w:val="000000"/>
          <w:sz w:val="32"/>
          <w:szCs w:val="32"/>
          <w:lang w:val="en-US" w:eastAsia="zh-CN"/>
        </w:rPr>
        <w:t>24次常务会议研究通过，</w:t>
      </w:r>
      <w:r>
        <w:rPr>
          <w:rFonts w:hint="eastAsia" w:ascii="仿宋" w:hAnsi="仿宋" w:eastAsia="仿宋"/>
          <w:color w:val="000000"/>
          <w:sz w:val="32"/>
          <w:szCs w:val="32"/>
        </w:rPr>
        <w:t>现印发给你们，请认真组织实施。</w:t>
      </w:r>
    </w:p>
    <w:p>
      <w:pPr>
        <w:pStyle w:val="7"/>
        <w:spacing w:before="0" w:beforeAutospacing="0" w:after="0" w:afterAutospacing="0" w:line="360" w:lineRule="auto"/>
        <w:rPr>
          <w:rFonts w:ascii="仿宋" w:hAnsi="仿宋" w:eastAsia="仿宋"/>
          <w:color w:val="000000"/>
          <w:sz w:val="32"/>
          <w:szCs w:val="32"/>
        </w:rPr>
      </w:pPr>
    </w:p>
    <w:p>
      <w:pPr>
        <w:pStyle w:val="7"/>
        <w:spacing w:before="0" w:beforeAutospacing="0" w:after="0" w:afterAutospacing="0" w:line="360" w:lineRule="auto"/>
        <w:rPr>
          <w:rFonts w:ascii="仿宋" w:hAnsi="仿宋" w:eastAsia="仿宋"/>
          <w:color w:val="000000"/>
          <w:sz w:val="32"/>
          <w:szCs w:val="32"/>
        </w:rPr>
      </w:pPr>
    </w:p>
    <w:p>
      <w:pPr>
        <w:pStyle w:val="7"/>
        <w:spacing w:before="0" w:beforeAutospacing="0" w:after="0" w:afterAutospacing="0" w:line="360" w:lineRule="auto"/>
        <w:ind w:firstLine="4480" w:firstLineChars="1400"/>
        <w:jc w:val="both"/>
        <w:rPr>
          <w:rFonts w:hint="eastAsia" w:ascii="仿宋" w:hAnsi="仿宋" w:eastAsia="仿宋"/>
          <w:color w:val="000000"/>
          <w:sz w:val="32"/>
          <w:szCs w:val="32"/>
          <w:lang w:eastAsia="zh-CN"/>
        </w:rPr>
      </w:pPr>
      <w:r>
        <w:rPr>
          <w:rFonts w:hint="eastAsia" w:ascii="仿宋" w:hAnsi="仿宋" w:eastAsia="仿宋"/>
          <w:color w:val="000000"/>
          <w:sz w:val="32"/>
          <w:szCs w:val="32"/>
        </w:rPr>
        <w:t>保德县人民政府</w:t>
      </w:r>
      <w:r>
        <w:rPr>
          <w:rFonts w:hint="eastAsia" w:ascii="仿宋" w:hAnsi="仿宋" w:eastAsia="仿宋"/>
          <w:color w:val="000000"/>
          <w:sz w:val="32"/>
          <w:szCs w:val="32"/>
          <w:lang w:eastAsia="zh-CN"/>
        </w:rPr>
        <w:t>办公室</w:t>
      </w:r>
    </w:p>
    <w:p>
      <w:pPr>
        <w:pStyle w:val="7"/>
        <w:spacing w:before="0" w:beforeAutospacing="0" w:after="0" w:afterAutospacing="0" w:line="360" w:lineRule="auto"/>
        <w:jc w:val="center"/>
        <w:rPr>
          <w:rFonts w:hint="eastAsia" w:ascii="仿宋" w:hAnsi="仿宋" w:eastAsia="仿宋"/>
          <w:color w:val="000000"/>
          <w:sz w:val="32"/>
          <w:szCs w:val="32"/>
        </w:rPr>
      </w:pP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2022年</w:t>
      </w:r>
      <w:r>
        <w:rPr>
          <w:rFonts w:hint="eastAsia" w:ascii="仿宋" w:hAnsi="仿宋" w:eastAsia="仿宋"/>
          <w:color w:val="000000"/>
          <w:sz w:val="32"/>
          <w:szCs w:val="32"/>
          <w:lang w:val="en-US" w:eastAsia="zh-CN"/>
        </w:rPr>
        <w:t>12</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1</w:t>
      </w:r>
      <w:r>
        <w:rPr>
          <w:rFonts w:hint="default" w:ascii="仿宋" w:hAnsi="仿宋" w:eastAsia="仿宋"/>
          <w:color w:val="000000"/>
          <w:sz w:val="32"/>
          <w:szCs w:val="32"/>
          <w:lang w:val="en-US" w:eastAsia="zh-CN"/>
        </w:rPr>
        <w:t>9</w:t>
      </w:r>
      <w:r>
        <w:rPr>
          <w:rFonts w:hint="eastAsia" w:ascii="仿宋" w:hAnsi="仿宋" w:eastAsia="仿宋"/>
          <w:color w:val="000000"/>
          <w:sz w:val="32"/>
          <w:szCs w:val="32"/>
        </w:rPr>
        <w:t>日</w:t>
      </w:r>
    </w:p>
    <w:p>
      <w:pPr>
        <w:rPr>
          <w:rFonts w:hint="eastAsia" w:ascii="仿宋" w:hAnsi="仿宋" w:eastAsia="仿宋"/>
          <w:color w:val="000000"/>
          <w:sz w:val="32"/>
          <w:szCs w:val="32"/>
        </w:rPr>
      </w:pPr>
    </w:p>
    <w:p>
      <w:pPr>
        <w:pStyle w:val="2"/>
        <w:rPr>
          <w:rFonts w:hint="eastAsia" w:ascii="仿宋" w:hAnsi="仿宋" w:eastAsia="仿宋"/>
          <w:color w:val="000000"/>
          <w:sz w:val="32"/>
          <w:szCs w:val="32"/>
        </w:rPr>
      </w:pPr>
    </w:p>
    <w:p>
      <w:pPr>
        <w:rPr>
          <w:rFonts w:hint="eastAsia" w:ascii="仿宋" w:hAnsi="仿宋" w:eastAsia="仿宋"/>
          <w:color w:val="000000"/>
          <w:sz w:val="32"/>
          <w:szCs w:val="32"/>
        </w:rPr>
      </w:pPr>
    </w:p>
    <w:p/>
    <w:p>
      <w:pPr>
        <w:pStyle w:val="8"/>
        <w:jc w:val="center"/>
        <w:rPr>
          <w:rFonts w:eastAsia="Arial Unicode MS"/>
          <w:b w:val="0"/>
          <w:sz w:val="52"/>
          <w:szCs w:val="52"/>
        </w:rPr>
      </w:pPr>
      <w:r>
        <w:rPr>
          <w:rFonts w:hint="eastAsia" w:eastAsia="Arial Unicode MS"/>
          <w:b w:val="0"/>
          <w:sz w:val="52"/>
          <w:szCs w:val="52"/>
        </w:rPr>
        <w:t>保德县</w:t>
      </w:r>
      <w:r>
        <w:rPr>
          <w:rFonts w:eastAsia="Arial Unicode MS"/>
          <w:b w:val="0"/>
          <w:sz w:val="52"/>
          <w:szCs w:val="52"/>
        </w:rPr>
        <w:t>消防事业发展“十四五”规划</w:t>
      </w:r>
    </w:p>
    <w:p>
      <w:pPr>
        <w:jc w:val="center"/>
        <w:rPr>
          <w:rFonts w:eastAsia="华文中宋"/>
          <w:spacing w:val="40"/>
          <w:sz w:val="48"/>
          <w:szCs w:val="48"/>
        </w:rPr>
      </w:pPr>
      <w:r>
        <w:rPr>
          <w:rFonts w:eastAsia="华文中宋"/>
          <w:spacing w:val="40"/>
          <w:sz w:val="48"/>
          <w:szCs w:val="48"/>
        </w:rPr>
        <w:t>（2021</w:t>
      </w:r>
      <w:r>
        <w:rPr>
          <w:rFonts w:hint="eastAsia" w:eastAsia="华文中宋"/>
          <w:spacing w:val="40"/>
          <w:sz w:val="48"/>
          <w:szCs w:val="48"/>
        </w:rPr>
        <w:t>—</w:t>
      </w:r>
      <w:r>
        <w:rPr>
          <w:rFonts w:eastAsia="华文中宋"/>
          <w:spacing w:val="40"/>
          <w:sz w:val="48"/>
          <w:szCs w:val="48"/>
        </w:rPr>
        <w:t>2025）</w:t>
      </w:r>
    </w:p>
    <w:p>
      <w:pPr>
        <w:jc w:val="center"/>
        <w:rPr>
          <w:rFonts w:eastAsia="华文中宋"/>
          <w:b/>
          <w:spacing w:val="40"/>
          <w:sz w:val="48"/>
          <w:szCs w:val="48"/>
        </w:rPr>
      </w:pPr>
    </w:p>
    <w:p>
      <w:pPr>
        <w:jc w:val="center"/>
        <w:rPr>
          <w:rFonts w:eastAsia="华文中宋"/>
          <w:sz w:val="52"/>
          <w:szCs w:val="52"/>
        </w:rPr>
      </w:pPr>
    </w:p>
    <w:p>
      <w:pPr>
        <w:jc w:val="center"/>
        <w:rPr>
          <w:rFonts w:eastAsia="华文中宋"/>
          <w:sz w:val="52"/>
          <w:szCs w:val="52"/>
        </w:rPr>
      </w:pPr>
    </w:p>
    <w:p>
      <w:pPr>
        <w:jc w:val="center"/>
        <w:rPr>
          <w:rFonts w:eastAsia="华文中宋"/>
          <w:sz w:val="52"/>
          <w:szCs w:val="52"/>
        </w:rPr>
      </w:pPr>
    </w:p>
    <w:p>
      <w:pPr>
        <w:jc w:val="center"/>
        <w:rPr>
          <w:rFonts w:eastAsia="华文中宋"/>
          <w:sz w:val="52"/>
          <w:szCs w:val="52"/>
        </w:rPr>
      </w:pPr>
    </w:p>
    <w:p>
      <w:pPr>
        <w:pStyle w:val="17"/>
        <w:rPr>
          <w:rFonts w:hint="default" w:ascii="Times New Roman" w:hAnsi="Times New Roman"/>
        </w:rPr>
      </w:pPr>
    </w:p>
    <w:p>
      <w:pPr>
        <w:jc w:val="center"/>
        <w:rPr>
          <w:rFonts w:eastAsia="华文中宋"/>
          <w:sz w:val="52"/>
          <w:szCs w:val="52"/>
        </w:rPr>
      </w:pPr>
    </w:p>
    <w:p>
      <w:pPr>
        <w:spacing w:line="600" w:lineRule="exact"/>
        <w:jc w:val="center"/>
        <w:rPr>
          <w:rFonts w:eastAsia="华文中宋"/>
          <w:sz w:val="52"/>
          <w:szCs w:val="52"/>
        </w:rPr>
      </w:pPr>
    </w:p>
    <w:p>
      <w:pPr>
        <w:spacing w:line="600" w:lineRule="exact"/>
        <w:jc w:val="center"/>
        <w:rPr>
          <w:rFonts w:eastAsia="华文中宋"/>
          <w:sz w:val="52"/>
          <w:szCs w:val="52"/>
        </w:rPr>
      </w:pPr>
    </w:p>
    <w:p>
      <w:pPr>
        <w:spacing w:line="600" w:lineRule="exact"/>
        <w:jc w:val="center"/>
        <w:rPr>
          <w:rFonts w:eastAsia="华文中宋"/>
          <w:sz w:val="52"/>
          <w:szCs w:val="52"/>
        </w:rPr>
      </w:pPr>
    </w:p>
    <w:p>
      <w:pPr>
        <w:spacing w:line="600" w:lineRule="exact"/>
        <w:jc w:val="center"/>
        <w:rPr>
          <w:szCs w:val="32"/>
        </w:rPr>
      </w:pPr>
      <w:r>
        <w:rPr>
          <w:szCs w:val="32"/>
        </w:rPr>
        <w:t>2022年1</w:t>
      </w:r>
      <w:r>
        <w:rPr>
          <w:rFonts w:hint="eastAsia"/>
          <w:szCs w:val="32"/>
          <w:lang w:val="en-US" w:eastAsia="zh-CN"/>
        </w:rPr>
        <w:t>2</w:t>
      </w:r>
      <w:r>
        <w:rPr>
          <w:szCs w:val="32"/>
        </w:rPr>
        <w:t>月</w:t>
      </w:r>
    </w:p>
    <w:p>
      <w:pPr>
        <w:pStyle w:val="17"/>
        <w:rPr>
          <w:rFonts w:hint="default" w:ascii="Times New Roman" w:hAnsi="Times New Roman"/>
        </w:rPr>
      </w:pPr>
    </w:p>
    <w:p>
      <w:pPr>
        <w:spacing w:line="560" w:lineRule="exact"/>
        <w:jc w:val="center"/>
        <w:rPr>
          <w:rFonts w:hint="eastAsia" w:ascii="Arial Unicode MS" w:eastAsia="Arial Unicode MS"/>
          <w:bCs/>
          <w:sz w:val="36"/>
          <w:szCs w:val="36"/>
        </w:rPr>
      </w:pPr>
      <w:r>
        <w:rPr>
          <w:rFonts w:hint="eastAsia" w:ascii="Arial Unicode MS" w:eastAsia="Arial Unicode MS"/>
          <w:bCs/>
          <w:sz w:val="36"/>
          <w:szCs w:val="36"/>
        </w:rPr>
        <w:t>目  录</w:t>
      </w:r>
    </w:p>
    <w:p>
      <w:pPr>
        <w:pStyle w:val="10"/>
        <w:tabs>
          <w:tab w:val="right" w:leader="dot" w:pos="8306"/>
        </w:tabs>
        <w:rPr>
          <w:rFonts w:ascii="Times New Roman" w:hAnsi="Times New Roman"/>
          <w:sz w:val="28"/>
          <w:szCs w:val="28"/>
        </w:rPr>
      </w:pPr>
      <w:r>
        <w:rPr>
          <w:rFonts w:ascii="Times New Roman" w:hAnsi="黑体" w:eastAsia="黑体"/>
          <w:bCs/>
          <w:sz w:val="28"/>
          <w:szCs w:val="28"/>
        </w:rPr>
        <w:t>序言</w:t>
      </w:r>
      <w:r>
        <w:rPr>
          <w:rFonts w:ascii="Times New Roman" w:hAnsi="Times New Roman"/>
          <w:position w:val="8"/>
          <w:sz w:val="28"/>
          <w:szCs w:val="28"/>
        </w:rPr>
        <w:tab/>
      </w:r>
      <w:r>
        <w:rPr>
          <w:rFonts w:hint="eastAsia" w:ascii="Times New Roman" w:hAnsi="Times New Roman"/>
          <w:sz w:val="28"/>
          <w:szCs w:val="28"/>
        </w:rPr>
        <w:t>4</w:t>
      </w:r>
    </w:p>
    <w:p>
      <w:pPr>
        <w:pStyle w:val="10"/>
        <w:tabs>
          <w:tab w:val="right" w:leader="dot" w:pos="8306"/>
        </w:tabs>
        <w:rPr>
          <w:rFonts w:ascii="Times New Roman" w:hAnsi="Times New Roman"/>
          <w:sz w:val="28"/>
          <w:szCs w:val="28"/>
        </w:rPr>
      </w:pPr>
      <w:r>
        <w:rPr>
          <w:rFonts w:ascii="Times New Roman" w:hAnsi="Times New Roman" w:eastAsia="黑体"/>
          <w:sz w:val="28"/>
          <w:szCs w:val="28"/>
        </w:rPr>
        <w:t>一、发展基础</w:t>
      </w:r>
      <w:r>
        <w:rPr>
          <w:rFonts w:ascii="Times New Roman" w:hAnsi="Times New Roman"/>
          <w:position w:val="8"/>
          <w:sz w:val="28"/>
          <w:szCs w:val="28"/>
        </w:rPr>
        <w:tab/>
      </w:r>
      <w:r>
        <w:rPr>
          <w:rFonts w:hint="eastAsia" w:ascii="Times New Roman" w:hAnsi="Times New Roman"/>
          <w:sz w:val="28"/>
          <w:szCs w:val="28"/>
        </w:rPr>
        <w:t>6</w:t>
      </w:r>
    </w:p>
    <w:p>
      <w:pPr>
        <w:pStyle w:val="11"/>
        <w:tabs>
          <w:tab w:val="right" w:leader="dot" w:pos="8306"/>
        </w:tabs>
        <w:ind w:left="640"/>
        <w:rPr>
          <w:rFonts w:ascii="Times New Roman" w:hAnsi="Times New Roman"/>
          <w:sz w:val="28"/>
          <w:szCs w:val="28"/>
        </w:rPr>
      </w:pPr>
      <w:r>
        <w:rPr>
          <w:rFonts w:ascii="Times New Roman" w:hAnsi="Times New Roman" w:eastAsia="仿宋_GB2312"/>
          <w:sz w:val="28"/>
          <w:szCs w:val="28"/>
        </w:rPr>
        <w:t>（一）“十三五”消防事业发展成果</w:t>
      </w:r>
      <w:r>
        <w:rPr>
          <w:rFonts w:ascii="Times New Roman" w:hAnsi="Times New Roman"/>
          <w:position w:val="8"/>
          <w:sz w:val="28"/>
          <w:szCs w:val="28"/>
        </w:rPr>
        <w:tab/>
      </w:r>
      <w:r>
        <w:rPr>
          <w:rFonts w:hint="eastAsia" w:ascii="Times New Roman" w:hAnsi="Times New Roman"/>
          <w:sz w:val="28"/>
          <w:szCs w:val="28"/>
        </w:rPr>
        <w:t>6</w:t>
      </w:r>
    </w:p>
    <w:p>
      <w:pPr>
        <w:pStyle w:val="11"/>
        <w:tabs>
          <w:tab w:val="right" w:leader="dot" w:pos="8306"/>
        </w:tabs>
        <w:ind w:left="640"/>
        <w:rPr>
          <w:rFonts w:hint="eastAsia" w:ascii="Times New Roman" w:hAnsi="Times New Roman" w:eastAsia="宋体"/>
          <w:sz w:val="28"/>
          <w:szCs w:val="28"/>
          <w:lang w:eastAsia="zh-CN"/>
        </w:rPr>
      </w:pPr>
      <w:r>
        <w:rPr>
          <w:rFonts w:ascii="Times New Roman" w:hAnsi="Times New Roman" w:eastAsia="仿宋_GB2312"/>
          <w:sz w:val="28"/>
          <w:szCs w:val="28"/>
        </w:rPr>
        <w:t>（二）主要问题</w:t>
      </w:r>
      <w:r>
        <w:rPr>
          <w:rFonts w:ascii="Times New Roman" w:hAnsi="Times New Roman"/>
          <w:position w:val="8"/>
          <w:sz w:val="28"/>
          <w:szCs w:val="28"/>
        </w:rPr>
        <w:tab/>
      </w:r>
      <w:r>
        <w:rPr>
          <w:rFonts w:hint="eastAsia" w:ascii="Times New Roman" w:hAnsi="Times New Roman"/>
          <w:sz w:val="28"/>
          <w:szCs w:val="28"/>
          <w:lang w:val="en-US" w:eastAsia="zh-CN"/>
        </w:rPr>
        <w:t>9</w:t>
      </w:r>
    </w:p>
    <w:p>
      <w:pPr>
        <w:pStyle w:val="10"/>
        <w:tabs>
          <w:tab w:val="right" w:leader="dot" w:pos="8306"/>
        </w:tabs>
        <w:rPr>
          <w:rFonts w:ascii="Times New Roman" w:hAnsi="Times New Roman"/>
          <w:sz w:val="28"/>
          <w:szCs w:val="28"/>
        </w:rPr>
      </w:pPr>
      <w:r>
        <w:rPr>
          <w:rFonts w:ascii="Times New Roman" w:hAnsi="Times New Roman" w:eastAsia="黑体"/>
          <w:sz w:val="28"/>
          <w:szCs w:val="28"/>
        </w:rPr>
        <w:t>二、发展背景</w:t>
      </w:r>
      <w:r>
        <w:rPr>
          <w:rFonts w:ascii="Times New Roman" w:hAnsi="Times New Roman"/>
          <w:position w:val="8"/>
          <w:sz w:val="28"/>
          <w:szCs w:val="28"/>
        </w:rPr>
        <w:tab/>
      </w:r>
      <w:r>
        <w:rPr>
          <w:rFonts w:hint="eastAsia" w:ascii="Times New Roman" w:hAnsi="Times New Roman"/>
          <w:sz w:val="28"/>
          <w:szCs w:val="28"/>
        </w:rPr>
        <w:t>10</w:t>
      </w:r>
    </w:p>
    <w:p>
      <w:pPr>
        <w:pStyle w:val="10"/>
        <w:tabs>
          <w:tab w:val="right" w:leader="dot" w:pos="8306"/>
        </w:tabs>
        <w:rPr>
          <w:rFonts w:ascii="Times New Roman" w:hAnsi="Times New Roman"/>
          <w:sz w:val="28"/>
          <w:szCs w:val="28"/>
        </w:rPr>
      </w:pPr>
      <w:r>
        <w:rPr>
          <w:rFonts w:ascii="Times New Roman" w:hAnsi="Times New Roman" w:eastAsia="黑体"/>
          <w:sz w:val="28"/>
          <w:szCs w:val="28"/>
        </w:rPr>
        <w:t>三、总体思路</w:t>
      </w:r>
      <w:r>
        <w:rPr>
          <w:rFonts w:ascii="Times New Roman" w:hAnsi="Times New Roman"/>
          <w:position w:val="8"/>
          <w:sz w:val="28"/>
          <w:szCs w:val="28"/>
        </w:rPr>
        <w:tab/>
      </w:r>
      <w:r>
        <w:rPr>
          <w:rFonts w:hint="eastAsia" w:ascii="Times New Roman" w:hAnsi="Times New Roman"/>
          <w:sz w:val="28"/>
          <w:szCs w:val="28"/>
        </w:rPr>
        <w:t>12</w:t>
      </w:r>
    </w:p>
    <w:p>
      <w:pPr>
        <w:pStyle w:val="11"/>
        <w:tabs>
          <w:tab w:val="right" w:leader="dot" w:pos="8306"/>
        </w:tabs>
        <w:ind w:left="640"/>
        <w:rPr>
          <w:rFonts w:ascii="Times New Roman" w:hAnsi="Times New Roman"/>
          <w:sz w:val="28"/>
          <w:szCs w:val="28"/>
        </w:rPr>
      </w:pPr>
      <w:r>
        <w:rPr>
          <w:rFonts w:ascii="Times New Roman" w:hAnsi="Times New Roman" w:eastAsia="仿宋_GB2312"/>
          <w:sz w:val="28"/>
          <w:szCs w:val="28"/>
        </w:rPr>
        <w:t>（一）指导思想</w:t>
      </w:r>
      <w:r>
        <w:rPr>
          <w:rFonts w:ascii="Times New Roman" w:hAnsi="Times New Roman"/>
          <w:position w:val="8"/>
          <w:sz w:val="28"/>
          <w:szCs w:val="28"/>
        </w:rPr>
        <w:tab/>
      </w:r>
      <w:r>
        <w:rPr>
          <w:rFonts w:hint="eastAsia" w:ascii="Times New Roman" w:hAnsi="Times New Roman"/>
          <w:sz w:val="28"/>
          <w:szCs w:val="28"/>
        </w:rPr>
        <w:t>12</w:t>
      </w:r>
    </w:p>
    <w:p>
      <w:pPr>
        <w:pStyle w:val="11"/>
        <w:tabs>
          <w:tab w:val="right" w:leader="dot" w:pos="8306"/>
        </w:tabs>
        <w:ind w:left="640"/>
        <w:rPr>
          <w:rFonts w:ascii="Times New Roman" w:hAnsi="Times New Roman"/>
          <w:sz w:val="28"/>
          <w:szCs w:val="28"/>
        </w:rPr>
      </w:pPr>
      <w:r>
        <w:rPr>
          <w:rFonts w:ascii="Times New Roman" w:hAnsi="Times New Roman" w:eastAsia="仿宋_GB2312"/>
          <w:sz w:val="28"/>
          <w:szCs w:val="28"/>
        </w:rPr>
        <w:t>（二）基本原则</w:t>
      </w:r>
      <w:r>
        <w:rPr>
          <w:rFonts w:ascii="Times New Roman" w:hAnsi="Times New Roman"/>
          <w:position w:val="8"/>
          <w:sz w:val="28"/>
          <w:szCs w:val="28"/>
        </w:rPr>
        <w:tab/>
      </w:r>
      <w:r>
        <w:rPr>
          <w:rFonts w:hint="eastAsia" w:ascii="Times New Roman" w:hAnsi="Times New Roman"/>
          <w:sz w:val="28"/>
          <w:szCs w:val="28"/>
        </w:rPr>
        <w:t>12</w:t>
      </w:r>
    </w:p>
    <w:p>
      <w:pPr>
        <w:pStyle w:val="11"/>
        <w:tabs>
          <w:tab w:val="right" w:leader="dot" w:pos="8306"/>
        </w:tabs>
        <w:ind w:left="640"/>
        <w:rPr>
          <w:rFonts w:ascii="Times New Roman" w:hAnsi="Times New Roman"/>
          <w:sz w:val="28"/>
          <w:szCs w:val="28"/>
        </w:rPr>
      </w:pPr>
      <w:r>
        <w:rPr>
          <w:rFonts w:ascii="Times New Roman" w:hAnsi="Times New Roman" w:eastAsia="仿宋_GB2312"/>
          <w:sz w:val="28"/>
          <w:szCs w:val="28"/>
        </w:rPr>
        <w:t>（三）发展目标</w:t>
      </w:r>
      <w:r>
        <w:rPr>
          <w:rFonts w:ascii="Times New Roman" w:hAnsi="Times New Roman"/>
          <w:position w:val="8"/>
          <w:sz w:val="28"/>
          <w:szCs w:val="28"/>
        </w:rPr>
        <w:tab/>
      </w:r>
      <w:r>
        <w:rPr>
          <w:rFonts w:hint="eastAsia" w:ascii="Times New Roman" w:hAnsi="Times New Roman"/>
          <w:sz w:val="28"/>
          <w:szCs w:val="28"/>
        </w:rPr>
        <w:t>13</w:t>
      </w:r>
    </w:p>
    <w:p>
      <w:pPr>
        <w:pStyle w:val="10"/>
        <w:tabs>
          <w:tab w:val="right" w:leader="dot" w:pos="8306"/>
        </w:tabs>
        <w:rPr>
          <w:rFonts w:hint="eastAsia" w:ascii="Times New Roman" w:hAnsi="Times New Roman" w:eastAsia="宋体"/>
          <w:sz w:val="28"/>
          <w:szCs w:val="28"/>
          <w:lang w:eastAsia="zh-CN"/>
        </w:rPr>
      </w:pPr>
      <w:r>
        <w:rPr>
          <w:rFonts w:ascii="Times New Roman" w:hAnsi="Times New Roman" w:eastAsia="黑体"/>
          <w:sz w:val="28"/>
          <w:szCs w:val="28"/>
        </w:rPr>
        <w:t>四、重点任务</w:t>
      </w:r>
      <w:r>
        <w:rPr>
          <w:rFonts w:ascii="Times New Roman" w:hAnsi="Times New Roman"/>
          <w:position w:val="8"/>
          <w:sz w:val="28"/>
          <w:szCs w:val="28"/>
        </w:rPr>
        <w:tab/>
      </w:r>
      <w:r>
        <w:rPr>
          <w:rFonts w:hint="eastAsia" w:ascii="Times New Roman" w:hAnsi="Times New Roman"/>
          <w:sz w:val="28"/>
          <w:szCs w:val="28"/>
        </w:rPr>
        <w:t>1</w:t>
      </w:r>
      <w:r>
        <w:rPr>
          <w:rFonts w:hint="eastAsia" w:ascii="Times New Roman" w:hAnsi="Times New Roman"/>
          <w:sz w:val="28"/>
          <w:szCs w:val="28"/>
          <w:lang w:val="en-US" w:eastAsia="zh-CN"/>
        </w:rPr>
        <w:t>5</w:t>
      </w:r>
    </w:p>
    <w:p>
      <w:pPr>
        <w:pStyle w:val="11"/>
        <w:tabs>
          <w:tab w:val="right" w:leader="dot" w:pos="8306"/>
        </w:tabs>
        <w:ind w:left="640"/>
        <w:rPr>
          <w:rFonts w:hint="eastAsia" w:ascii="Times New Roman" w:hAnsi="Times New Roman" w:eastAsia="宋体"/>
          <w:sz w:val="28"/>
          <w:szCs w:val="28"/>
          <w:lang w:eastAsia="zh-CN"/>
        </w:rPr>
      </w:pPr>
      <w:r>
        <w:rPr>
          <w:rFonts w:ascii="Times New Roman" w:hAnsi="Times New Roman" w:eastAsia="仿宋_GB2312"/>
          <w:sz w:val="28"/>
          <w:szCs w:val="28"/>
        </w:rPr>
        <w:t>（一）健全消防安全责任体系</w:t>
      </w:r>
      <w:r>
        <w:rPr>
          <w:rFonts w:ascii="Times New Roman" w:hAnsi="Times New Roman"/>
          <w:position w:val="8"/>
          <w:sz w:val="28"/>
          <w:szCs w:val="28"/>
        </w:rPr>
        <w:tab/>
      </w:r>
      <w:r>
        <w:rPr>
          <w:rFonts w:hint="eastAsia" w:ascii="Times New Roman" w:hAnsi="Times New Roman"/>
          <w:sz w:val="28"/>
          <w:szCs w:val="28"/>
        </w:rPr>
        <w:t>1</w:t>
      </w:r>
      <w:r>
        <w:rPr>
          <w:rFonts w:hint="eastAsia" w:ascii="Times New Roman" w:hAnsi="Times New Roman"/>
          <w:sz w:val="28"/>
          <w:szCs w:val="28"/>
          <w:lang w:val="en-US" w:eastAsia="zh-CN"/>
        </w:rPr>
        <w:t>5</w:t>
      </w:r>
    </w:p>
    <w:p>
      <w:pPr>
        <w:pStyle w:val="11"/>
        <w:tabs>
          <w:tab w:val="right" w:leader="dot" w:pos="8306"/>
        </w:tabs>
        <w:ind w:left="640"/>
        <w:rPr>
          <w:rFonts w:ascii="Times New Roman" w:hAnsi="Times New Roman"/>
          <w:sz w:val="28"/>
          <w:szCs w:val="28"/>
        </w:rPr>
      </w:pPr>
      <w:r>
        <w:rPr>
          <w:rFonts w:ascii="Times New Roman" w:hAnsi="Times New Roman" w:eastAsia="仿宋_GB2312"/>
          <w:sz w:val="28"/>
          <w:szCs w:val="28"/>
        </w:rPr>
        <w:t>（二）加强社会消防治理体系</w:t>
      </w:r>
      <w:r>
        <w:rPr>
          <w:rFonts w:ascii="Times New Roman" w:hAnsi="Times New Roman"/>
          <w:position w:val="8"/>
          <w:sz w:val="28"/>
          <w:szCs w:val="28"/>
        </w:rPr>
        <w:tab/>
      </w:r>
      <w:r>
        <w:rPr>
          <w:rFonts w:hint="eastAsia" w:ascii="Times New Roman" w:hAnsi="Times New Roman"/>
          <w:sz w:val="28"/>
          <w:szCs w:val="28"/>
        </w:rPr>
        <w:t>17</w:t>
      </w:r>
    </w:p>
    <w:p>
      <w:pPr>
        <w:pStyle w:val="11"/>
        <w:tabs>
          <w:tab w:val="right" w:leader="dot" w:pos="8306"/>
        </w:tabs>
        <w:ind w:left="640"/>
        <w:rPr>
          <w:rFonts w:hint="eastAsia" w:ascii="Times New Roman" w:hAnsi="Times New Roman" w:eastAsia="宋体"/>
          <w:sz w:val="28"/>
          <w:szCs w:val="28"/>
          <w:lang w:eastAsia="zh-CN"/>
        </w:rPr>
      </w:pPr>
      <w:r>
        <w:rPr>
          <w:rFonts w:ascii="Times New Roman" w:hAnsi="Times New Roman" w:eastAsia="仿宋_GB2312"/>
          <w:sz w:val="28"/>
          <w:szCs w:val="28"/>
        </w:rPr>
        <w:t>（三）落实消防标准管理体系</w:t>
      </w:r>
      <w:r>
        <w:rPr>
          <w:rFonts w:ascii="Times New Roman" w:hAnsi="Times New Roman"/>
          <w:position w:val="8"/>
          <w:sz w:val="28"/>
          <w:szCs w:val="28"/>
        </w:rPr>
        <w:tab/>
      </w:r>
      <w:r>
        <w:rPr>
          <w:rFonts w:hint="eastAsia" w:ascii="Times New Roman" w:hAnsi="Times New Roman"/>
          <w:sz w:val="28"/>
          <w:szCs w:val="28"/>
        </w:rPr>
        <w:t>2</w:t>
      </w:r>
      <w:r>
        <w:rPr>
          <w:rFonts w:hint="eastAsia" w:ascii="Times New Roman" w:hAnsi="Times New Roman"/>
          <w:sz w:val="28"/>
          <w:szCs w:val="28"/>
          <w:lang w:val="en-US" w:eastAsia="zh-CN"/>
        </w:rPr>
        <w:t>2</w:t>
      </w:r>
    </w:p>
    <w:p>
      <w:pPr>
        <w:pStyle w:val="11"/>
        <w:tabs>
          <w:tab w:val="right" w:leader="dot" w:pos="8306"/>
        </w:tabs>
        <w:ind w:left="640"/>
        <w:rPr>
          <w:rFonts w:hint="eastAsia" w:ascii="Times New Roman" w:hAnsi="Times New Roman" w:eastAsia="宋体"/>
          <w:sz w:val="28"/>
          <w:szCs w:val="28"/>
          <w:lang w:eastAsia="zh-CN"/>
        </w:rPr>
      </w:pPr>
      <w:r>
        <w:rPr>
          <w:rFonts w:ascii="Times New Roman" w:hAnsi="Times New Roman" w:eastAsia="仿宋_GB2312"/>
          <w:sz w:val="28"/>
          <w:szCs w:val="28"/>
        </w:rPr>
        <w:t>（四）优化消防公共设施体系</w:t>
      </w:r>
      <w:r>
        <w:rPr>
          <w:rFonts w:ascii="Times New Roman" w:hAnsi="Times New Roman"/>
          <w:position w:val="8"/>
          <w:sz w:val="28"/>
          <w:szCs w:val="28"/>
        </w:rPr>
        <w:tab/>
      </w:r>
      <w:r>
        <w:rPr>
          <w:rFonts w:hint="eastAsia" w:ascii="Times New Roman" w:hAnsi="Times New Roman"/>
          <w:sz w:val="28"/>
          <w:szCs w:val="28"/>
        </w:rPr>
        <w:t>2</w:t>
      </w:r>
      <w:r>
        <w:rPr>
          <w:rFonts w:hint="eastAsia" w:ascii="Times New Roman" w:hAnsi="Times New Roman"/>
          <w:sz w:val="28"/>
          <w:szCs w:val="28"/>
          <w:lang w:val="en-US" w:eastAsia="zh-CN"/>
        </w:rPr>
        <w:t>4</w:t>
      </w:r>
    </w:p>
    <w:p>
      <w:pPr>
        <w:pStyle w:val="11"/>
        <w:tabs>
          <w:tab w:val="right" w:leader="dot" w:pos="8306"/>
        </w:tabs>
        <w:ind w:left="640"/>
        <w:rPr>
          <w:rFonts w:ascii="Times New Roman" w:hAnsi="Times New Roman"/>
          <w:sz w:val="28"/>
          <w:szCs w:val="28"/>
        </w:rPr>
      </w:pPr>
      <w:r>
        <w:rPr>
          <w:rFonts w:ascii="Times New Roman" w:hAnsi="Times New Roman" w:eastAsia="仿宋_GB2312"/>
          <w:sz w:val="28"/>
          <w:szCs w:val="28"/>
        </w:rPr>
        <w:t>（五）强化消防救援力量体系</w:t>
      </w:r>
      <w:r>
        <w:rPr>
          <w:rFonts w:ascii="Times New Roman" w:hAnsi="Times New Roman"/>
          <w:position w:val="8"/>
          <w:sz w:val="28"/>
          <w:szCs w:val="28"/>
        </w:rPr>
        <w:tab/>
      </w:r>
      <w:r>
        <w:rPr>
          <w:rFonts w:hint="eastAsia" w:ascii="Times New Roman" w:hAnsi="Times New Roman"/>
          <w:sz w:val="28"/>
          <w:szCs w:val="28"/>
        </w:rPr>
        <w:t>25</w:t>
      </w:r>
    </w:p>
    <w:p>
      <w:pPr>
        <w:pStyle w:val="11"/>
        <w:tabs>
          <w:tab w:val="right" w:leader="dot" w:pos="8306"/>
        </w:tabs>
        <w:ind w:left="640"/>
        <w:rPr>
          <w:rFonts w:ascii="Times New Roman" w:hAnsi="Times New Roman"/>
          <w:sz w:val="28"/>
          <w:szCs w:val="28"/>
        </w:rPr>
      </w:pPr>
      <w:r>
        <w:rPr>
          <w:rFonts w:ascii="Times New Roman" w:hAnsi="Times New Roman" w:eastAsia="仿宋_GB2312"/>
          <w:sz w:val="28"/>
          <w:szCs w:val="28"/>
        </w:rPr>
        <w:t>（六）提升消防救援保障体系</w:t>
      </w:r>
      <w:r>
        <w:rPr>
          <w:rFonts w:ascii="Times New Roman" w:hAnsi="Times New Roman"/>
          <w:position w:val="8"/>
          <w:sz w:val="28"/>
          <w:szCs w:val="28"/>
        </w:rPr>
        <w:tab/>
      </w:r>
      <w:r>
        <w:rPr>
          <w:rFonts w:hint="eastAsia" w:ascii="Times New Roman" w:hAnsi="Times New Roman"/>
          <w:sz w:val="28"/>
          <w:szCs w:val="28"/>
          <w:lang w:val="en-US" w:eastAsia="zh-CN"/>
        </w:rPr>
        <w:t>2</w:t>
      </w:r>
      <w:r>
        <w:rPr>
          <w:rFonts w:hint="eastAsia" w:ascii="Times New Roman" w:hAnsi="Times New Roman"/>
          <w:sz w:val="28"/>
          <w:szCs w:val="28"/>
        </w:rPr>
        <w:t>7</w:t>
      </w:r>
    </w:p>
    <w:p>
      <w:pPr>
        <w:pStyle w:val="11"/>
        <w:tabs>
          <w:tab w:val="right" w:leader="dot" w:pos="8306"/>
        </w:tabs>
        <w:ind w:left="640"/>
        <w:rPr>
          <w:rFonts w:hint="default" w:ascii="Times New Roman" w:hAnsi="Times New Roman" w:eastAsia="宋体"/>
          <w:sz w:val="28"/>
          <w:szCs w:val="28"/>
          <w:lang w:val="en-US" w:eastAsia="zh-CN"/>
        </w:rPr>
      </w:pPr>
      <w:r>
        <w:rPr>
          <w:rFonts w:ascii="Times New Roman" w:hAnsi="Times New Roman" w:eastAsia="仿宋_GB2312"/>
          <w:sz w:val="28"/>
          <w:szCs w:val="28"/>
        </w:rPr>
        <w:t>（七）推进数字智慧支撑体系</w:t>
      </w:r>
      <w:r>
        <w:rPr>
          <w:rFonts w:ascii="Times New Roman" w:hAnsi="Times New Roman"/>
          <w:position w:val="8"/>
          <w:sz w:val="28"/>
          <w:szCs w:val="28"/>
        </w:rPr>
        <w:tab/>
      </w:r>
      <w:r>
        <w:rPr>
          <w:rFonts w:hint="eastAsia" w:ascii="Times New Roman" w:hAnsi="Times New Roman"/>
          <w:sz w:val="28"/>
          <w:szCs w:val="28"/>
          <w:lang w:val="en-US" w:eastAsia="zh-CN"/>
        </w:rPr>
        <w:t>30</w:t>
      </w:r>
    </w:p>
    <w:p>
      <w:pPr>
        <w:pStyle w:val="11"/>
        <w:tabs>
          <w:tab w:val="right" w:leader="dot" w:pos="8306"/>
        </w:tabs>
        <w:ind w:left="640"/>
        <w:rPr>
          <w:rFonts w:hint="eastAsia" w:ascii="Times New Roman" w:hAnsi="Times New Roman" w:eastAsia="宋体"/>
          <w:sz w:val="28"/>
          <w:szCs w:val="28"/>
          <w:lang w:eastAsia="zh-CN"/>
        </w:rPr>
      </w:pPr>
      <w:r>
        <w:rPr>
          <w:rFonts w:ascii="Times New Roman" w:hAnsi="Times New Roman" w:eastAsia="仿宋_GB2312"/>
          <w:sz w:val="28"/>
          <w:szCs w:val="28"/>
        </w:rPr>
        <w:t>（八）打造消防救援队伍体系</w:t>
      </w:r>
      <w:r>
        <w:rPr>
          <w:rFonts w:ascii="Times New Roman" w:hAnsi="Times New Roman"/>
          <w:position w:val="8"/>
          <w:sz w:val="28"/>
          <w:szCs w:val="28"/>
        </w:rPr>
        <w:tab/>
      </w:r>
      <w:r>
        <w:rPr>
          <w:rFonts w:hint="eastAsia" w:ascii="Times New Roman" w:hAnsi="Times New Roman"/>
          <w:sz w:val="28"/>
          <w:szCs w:val="28"/>
        </w:rPr>
        <w:t>3</w:t>
      </w:r>
      <w:r>
        <w:rPr>
          <w:rFonts w:hint="eastAsia" w:ascii="Times New Roman" w:hAnsi="Times New Roman"/>
          <w:sz w:val="28"/>
          <w:szCs w:val="28"/>
          <w:lang w:val="en-US" w:eastAsia="zh-CN"/>
        </w:rPr>
        <w:t>1</w:t>
      </w:r>
    </w:p>
    <w:p>
      <w:pPr>
        <w:pStyle w:val="11"/>
        <w:tabs>
          <w:tab w:val="right" w:leader="dot" w:pos="8306"/>
        </w:tabs>
        <w:ind w:left="640"/>
        <w:rPr>
          <w:rFonts w:hint="eastAsia" w:ascii="Times New Roman" w:hAnsi="Times New Roman" w:eastAsia="宋体"/>
          <w:sz w:val="28"/>
          <w:szCs w:val="28"/>
          <w:lang w:val="en-US" w:eastAsia="zh-CN"/>
        </w:rPr>
      </w:pPr>
      <w:r>
        <w:rPr>
          <w:rFonts w:ascii="Times New Roman" w:hAnsi="Times New Roman" w:eastAsia="仿宋_GB2312"/>
          <w:sz w:val="28"/>
          <w:szCs w:val="28"/>
        </w:rPr>
        <w:t>（九）构建消防安全宣传体系</w:t>
      </w:r>
      <w:r>
        <w:rPr>
          <w:rFonts w:ascii="Times New Roman" w:hAnsi="Times New Roman"/>
          <w:position w:val="8"/>
          <w:sz w:val="28"/>
          <w:szCs w:val="28"/>
        </w:rPr>
        <w:tab/>
      </w:r>
      <w:r>
        <w:rPr>
          <w:rFonts w:hint="eastAsia" w:ascii="Times New Roman" w:hAnsi="Times New Roman"/>
          <w:sz w:val="28"/>
          <w:szCs w:val="28"/>
        </w:rPr>
        <w:t>3</w:t>
      </w:r>
      <w:r>
        <w:rPr>
          <w:rFonts w:hint="eastAsia" w:ascii="Times New Roman" w:hAnsi="Times New Roman"/>
          <w:sz w:val="28"/>
          <w:szCs w:val="28"/>
          <w:lang w:val="en-US" w:eastAsia="zh-CN"/>
        </w:rPr>
        <w:t>3</w:t>
      </w:r>
    </w:p>
    <w:p>
      <w:pPr>
        <w:pStyle w:val="10"/>
        <w:tabs>
          <w:tab w:val="right" w:leader="dot" w:pos="8306"/>
        </w:tabs>
        <w:rPr>
          <w:rFonts w:hint="default" w:ascii="Times New Roman" w:hAnsi="Times New Roman" w:eastAsia="宋体"/>
          <w:sz w:val="28"/>
          <w:szCs w:val="28"/>
          <w:lang w:val="en-US" w:eastAsia="zh-CN"/>
        </w:rPr>
      </w:pPr>
      <w:r>
        <w:rPr>
          <w:rFonts w:ascii="Times New Roman" w:hAnsi="Times New Roman" w:eastAsia="黑体"/>
          <w:sz w:val="28"/>
          <w:szCs w:val="28"/>
        </w:rPr>
        <w:t>五、重大项目</w:t>
      </w:r>
      <w:r>
        <w:rPr>
          <w:rFonts w:ascii="Times New Roman" w:hAnsi="Times New Roman"/>
          <w:position w:val="8"/>
          <w:sz w:val="28"/>
          <w:szCs w:val="28"/>
        </w:rPr>
        <w:tab/>
      </w:r>
      <w:r>
        <w:rPr>
          <w:rFonts w:hint="eastAsia" w:ascii="Times New Roman" w:hAnsi="Times New Roman"/>
          <w:sz w:val="28"/>
          <w:szCs w:val="28"/>
          <w:lang w:val="en-US" w:eastAsia="zh-CN"/>
        </w:rPr>
        <w:t>34</w:t>
      </w:r>
    </w:p>
    <w:p>
      <w:pPr>
        <w:pStyle w:val="11"/>
        <w:tabs>
          <w:tab w:val="right" w:leader="dot" w:pos="8306"/>
        </w:tabs>
        <w:ind w:left="640"/>
        <w:rPr>
          <w:rFonts w:ascii="Times New Roman" w:hAnsi="Times New Roman"/>
          <w:sz w:val="28"/>
          <w:szCs w:val="28"/>
        </w:rPr>
      </w:pPr>
      <w:r>
        <w:rPr>
          <w:rFonts w:ascii="Times New Roman" w:hAnsi="Times New Roman" w:eastAsia="仿宋_GB2312"/>
          <w:sz w:val="28"/>
          <w:szCs w:val="28"/>
        </w:rPr>
        <w:t>（一）消防车辆配置项目</w:t>
      </w:r>
      <w:r>
        <w:rPr>
          <w:rFonts w:ascii="Times New Roman" w:hAnsi="Times New Roman"/>
          <w:position w:val="8"/>
          <w:sz w:val="28"/>
          <w:szCs w:val="28"/>
        </w:rPr>
        <w:tab/>
      </w:r>
      <w:r>
        <w:rPr>
          <w:rFonts w:hint="eastAsia" w:ascii="Times New Roman" w:hAnsi="Times New Roman"/>
          <w:sz w:val="28"/>
          <w:szCs w:val="28"/>
        </w:rPr>
        <w:t>34</w:t>
      </w:r>
    </w:p>
    <w:p>
      <w:pPr>
        <w:pStyle w:val="10"/>
        <w:tabs>
          <w:tab w:val="right" w:leader="dot" w:pos="8306"/>
        </w:tabs>
        <w:rPr>
          <w:rFonts w:hint="eastAsia" w:ascii="Times New Roman" w:hAnsi="Times New Roman" w:eastAsia="宋体"/>
          <w:sz w:val="28"/>
          <w:szCs w:val="28"/>
          <w:lang w:eastAsia="zh-CN"/>
        </w:rPr>
      </w:pPr>
      <w:r>
        <w:rPr>
          <w:rFonts w:ascii="Times New Roman" w:hAnsi="Times New Roman" w:eastAsia="黑体"/>
          <w:sz w:val="28"/>
          <w:szCs w:val="28"/>
        </w:rPr>
        <w:t>六、保障措施</w:t>
      </w:r>
      <w:r>
        <w:rPr>
          <w:rFonts w:ascii="Times New Roman" w:hAnsi="Times New Roman"/>
          <w:position w:val="8"/>
          <w:sz w:val="28"/>
          <w:szCs w:val="28"/>
        </w:rPr>
        <w:tab/>
      </w:r>
      <w:r>
        <w:rPr>
          <w:rFonts w:hint="eastAsia" w:ascii="Times New Roman" w:hAnsi="Times New Roman"/>
          <w:sz w:val="28"/>
          <w:szCs w:val="28"/>
        </w:rPr>
        <w:t>3</w:t>
      </w:r>
      <w:r>
        <w:rPr>
          <w:rFonts w:hint="eastAsia" w:ascii="Times New Roman" w:hAnsi="Times New Roman"/>
          <w:sz w:val="28"/>
          <w:szCs w:val="28"/>
          <w:lang w:val="en-US" w:eastAsia="zh-CN"/>
        </w:rPr>
        <w:t>4</w:t>
      </w:r>
    </w:p>
    <w:p>
      <w:pPr>
        <w:pStyle w:val="11"/>
        <w:tabs>
          <w:tab w:val="right" w:leader="dot" w:pos="8306"/>
        </w:tabs>
        <w:ind w:left="640"/>
        <w:rPr>
          <w:rFonts w:hint="eastAsia" w:ascii="Times New Roman" w:hAnsi="Times New Roman" w:eastAsia="宋体"/>
          <w:sz w:val="28"/>
          <w:szCs w:val="28"/>
          <w:lang w:eastAsia="zh-CN"/>
        </w:rPr>
      </w:pPr>
      <w:r>
        <w:rPr>
          <w:rFonts w:ascii="Times New Roman" w:hAnsi="Times New Roman" w:eastAsia="仿宋_GB2312"/>
          <w:sz w:val="28"/>
          <w:szCs w:val="28"/>
        </w:rPr>
        <w:t>（一）坚持政府主导</w:t>
      </w:r>
      <w:r>
        <w:rPr>
          <w:rFonts w:ascii="Times New Roman" w:hAnsi="Times New Roman"/>
          <w:position w:val="8"/>
          <w:sz w:val="28"/>
          <w:szCs w:val="28"/>
        </w:rPr>
        <w:tab/>
      </w:r>
      <w:r>
        <w:rPr>
          <w:rFonts w:hint="eastAsia" w:ascii="Times New Roman" w:hAnsi="Times New Roman"/>
          <w:sz w:val="28"/>
          <w:szCs w:val="28"/>
        </w:rPr>
        <w:t>3</w:t>
      </w:r>
      <w:r>
        <w:rPr>
          <w:rFonts w:hint="eastAsia" w:ascii="Times New Roman" w:hAnsi="Times New Roman"/>
          <w:sz w:val="28"/>
          <w:szCs w:val="28"/>
          <w:lang w:val="en-US" w:eastAsia="zh-CN"/>
        </w:rPr>
        <w:t>4</w:t>
      </w:r>
    </w:p>
    <w:p>
      <w:pPr>
        <w:pStyle w:val="11"/>
        <w:tabs>
          <w:tab w:val="right" w:leader="dot" w:pos="8306"/>
        </w:tabs>
        <w:ind w:left="640"/>
        <w:rPr>
          <w:rFonts w:hint="eastAsia" w:ascii="Times New Roman" w:hAnsi="Times New Roman" w:eastAsia="宋体"/>
          <w:sz w:val="28"/>
          <w:szCs w:val="28"/>
          <w:lang w:eastAsia="zh-CN"/>
        </w:rPr>
      </w:pPr>
      <w:r>
        <w:rPr>
          <w:rFonts w:ascii="Times New Roman" w:hAnsi="Times New Roman" w:eastAsia="仿宋_GB2312"/>
          <w:sz w:val="28"/>
          <w:szCs w:val="28"/>
        </w:rPr>
        <w:t>（二）加大财政投入</w:t>
      </w:r>
      <w:r>
        <w:rPr>
          <w:rFonts w:ascii="Times New Roman" w:hAnsi="Times New Roman"/>
          <w:position w:val="8"/>
          <w:sz w:val="28"/>
          <w:szCs w:val="28"/>
        </w:rPr>
        <w:tab/>
      </w:r>
      <w:r>
        <w:rPr>
          <w:rFonts w:hint="eastAsia" w:ascii="Times New Roman" w:hAnsi="Times New Roman"/>
          <w:sz w:val="28"/>
          <w:szCs w:val="28"/>
        </w:rPr>
        <w:t>3</w:t>
      </w:r>
      <w:r>
        <w:rPr>
          <w:rFonts w:hint="eastAsia" w:ascii="Times New Roman" w:hAnsi="Times New Roman"/>
          <w:sz w:val="28"/>
          <w:szCs w:val="28"/>
          <w:lang w:val="en-US" w:eastAsia="zh-CN"/>
        </w:rPr>
        <w:t>5</w:t>
      </w:r>
    </w:p>
    <w:p>
      <w:pPr>
        <w:pStyle w:val="11"/>
        <w:tabs>
          <w:tab w:val="right" w:leader="dot" w:pos="8306"/>
        </w:tabs>
        <w:ind w:left="640"/>
        <w:rPr>
          <w:rFonts w:hint="default" w:ascii="Times New Roman" w:hAnsi="Times New Roman" w:eastAsia="宋体"/>
          <w:sz w:val="28"/>
          <w:szCs w:val="28"/>
          <w:lang w:val="en-US" w:eastAsia="zh-CN"/>
        </w:rPr>
      </w:pPr>
      <w:r>
        <w:rPr>
          <w:rFonts w:ascii="Times New Roman" w:hAnsi="Times New Roman" w:eastAsia="仿宋_GB2312"/>
          <w:sz w:val="28"/>
          <w:szCs w:val="28"/>
        </w:rPr>
        <w:t>（三）实施跟踪问效</w:t>
      </w:r>
      <w:r>
        <w:rPr>
          <w:rFonts w:ascii="Times New Roman" w:hAnsi="Times New Roman"/>
          <w:position w:val="8"/>
          <w:sz w:val="28"/>
          <w:szCs w:val="28"/>
        </w:rPr>
        <w:tab/>
      </w:r>
      <w:r>
        <w:rPr>
          <w:rFonts w:hint="eastAsia" w:ascii="Times New Roman" w:hAnsi="Times New Roman"/>
          <w:sz w:val="28"/>
          <w:szCs w:val="28"/>
        </w:rPr>
        <w:t>3</w:t>
      </w:r>
      <w:r>
        <w:rPr>
          <w:rFonts w:hint="eastAsia" w:ascii="Times New Roman" w:hAnsi="Times New Roman"/>
          <w:sz w:val="28"/>
          <w:szCs w:val="28"/>
          <w:lang w:val="en-US" w:eastAsia="zh-CN"/>
        </w:rPr>
        <w:t>5</w:t>
      </w:r>
    </w:p>
    <w:p>
      <w:pPr>
        <w:pStyle w:val="10"/>
        <w:tabs>
          <w:tab w:val="right" w:leader="dot" w:pos="8306"/>
        </w:tabs>
        <w:rPr>
          <w:rFonts w:hint="eastAsia" w:ascii="Times New Roman" w:hAnsi="Times New Roman" w:eastAsia="宋体"/>
          <w:sz w:val="28"/>
          <w:szCs w:val="28"/>
          <w:lang w:val="en-US" w:eastAsia="zh-CN"/>
        </w:rPr>
      </w:pPr>
      <w:r>
        <w:rPr>
          <w:rFonts w:ascii="Times New Roman" w:hAnsi="Times New Roman" w:eastAsia="楷体_GB2312"/>
          <w:sz w:val="28"/>
          <w:szCs w:val="28"/>
        </w:rPr>
        <w:t>附表1：“十四五”期间</w:t>
      </w:r>
      <w:r>
        <w:rPr>
          <w:rFonts w:ascii="Times New Roman" w:hAnsi="Times New Roman" w:eastAsia="楷体_GB2312"/>
          <w:color w:val="auto"/>
          <w:sz w:val="28"/>
          <w:szCs w:val="28"/>
        </w:rPr>
        <w:t>政府</w:t>
      </w:r>
      <w:r>
        <w:rPr>
          <w:rFonts w:ascii="Times New Roman" w:hAnsi="Times New Roman" w:eastAsia="楷体_GB2312"/>
          <w:sz w:val="28"/>
          <w:szCs w:val="28"/>
        </w:rPr>
        <w:t>专职消防队员、消防文员征召计划表</w:t>
      </w:r>
      <w:r>
        <w:rPr>
          <w:rFonts w:ascii="Times New Roman" w:hAnsi="Times New Roman"/>
          <w:position w:val="8"/>
          <w:sz w:val="28"/>
          <w:szCs w:val="28"/>
        </w:rPr>
        <w:tab/>
      </w:r>
      <w:r>
        <w:rPr>
          <w:rFonts w:hint="eastAsia" w:ascii="Times New Roman" w:hAnsi="Times New Roman"/>
          <w:sz w:val="28"/>
          <w:szCs w:val="28"/>
        </w:rPr>
        <w:t>3</w:t>
      </w:r>
      <w:r>
        <w:rPr>
          <w:rFonts w:hint="eastAsia" w:ascii="Times New Roman" w:hAnsi="Times New Roman"/>
          <w:sz w:val="28"/>
          <w:szCs w:val="28"/>
          <w:lang w:val="en-US" w:eastAsia="zh-CN"/>
        </w:rPr>
        <w:t>6</w:t>
      </w:r>
    </w:p>
    <w:p>
      <w:pPr>
        <w:pStyle w:val="10"/>
        <w:tabs>
          <w:tab w:val="right" w:leader="dot" w:pos="8306"/>
        </w:tabs>
        <w:rPr>
          <w:rFonts w:hint="eastAsia" w:ascii="Times New Roman" w:hAnsi="Times New Roman" w:eastAsia="楷体_GB2312"/>
          <w:sz w:val="28"/>
          <w:szCs w:val="28"/>
          <w:lang w:eastAsia="zh-CN"/>
        </w:rPr>
      </w:pPr>
      <w:r>
        <w:rPr>
          <w:rFonts w:ascii="Times New Roman" w:hAnsi="Times New Roman" w:eastAsia="楷体_GB2312"/>
          <w:sz w:val="28"/>
          <w:szCs w:val="28"/>
        </w:rPr>
        <w:t>附表</w:t>
      </w:r>
      <w:r>
        <w:rPr>
          <w:rFonts w:hint="eastAsia" w:ascii="Times New Roman" w:hAnsi="Times New Roman" w:eastAsia="楷体_GB2312"/>
          <w:sz w:val="28"/>
          <w:szCs w:val="28"/>
        </w:rPr>
        <w:t>2</w:t>
      </w:r>
      <w:r>
        <w:rPr>
          <w:rFonts w:ascii="Times New Roman" w:hAnsi="Times New Roman" w:eastAsia="楷体_GB2312"/>
          <w:sz w:val="28"/>
          <w:szCs w:val="28"/>
        </w:rPr>
        <w:t>：“十四五”期间</w:t>
      </w:r>
      <w:r>
        <w:rPr>
          <w:rFonts w:hint="eastAsia" w:ascii="Times New Roman" w:hAnsi="Times New Roman" w:eastAsia="楷体_GB2312"/>
          <w:sz w:val="28"/>
          <w:szCs w:val="28"/>
          <w:lang w:eastAsia="zh-CN"/>
        </w:rPr>
        <w:t>保德县</w:t>
      </w:r>
      <w:r>
        <w:rPr>
          <w:rFonts w:ascii="Times New Roman" w:hAnsi="Times New Roman" w:eastAsia="楷体_GB2312"/>
          <w:sz w:val="28"/>
          <w:szCs w:val="28"/>
        </w:rPr>
        <w:t>市政消火栓建设规划表</w:t>
      </w:r>
      <w:r>
        <w:rPr>
          <w:rFonts w:ascii="Times New Roman" w:hAnsi="Times New Roman"/>
          <w:position w:val="8"/>
          <w:sz w:val="28"/>
          <w:szCs w:val="28"/>
        </w:rPr>
        <w:tab/>
      </w:r>
      <w:r>
        <w:rPr>
          <w:rFonts w:hint="eastAsia" w:ascii="Times New Roman" w:hAnsi="Times New Roman" w:eastAsia="楷体_GB2312"/>
          <w:sz w:val="28"/>
          <w:szCs w:val="28"/>
        </w:rPr>
        <w:t>3</w:t>
      </w:r>
      <w:r>
        <w:rPr>
          <w:rFonts w:hint="eastAsia" w:ascii="Times New Roman" w:hAnsi="Times New Roman" w:eastAsia="楷体_GB2312"/>
          <w:sz w:val="28"/>
          <w:szCs w:val="28"/>
          <w:lang w:val="en-US" w:eastAsia="zh-CN"/>
        </w:rPr>
        <w:t>7</w:t>
      </w:r>
    </w:p>
    <w:p>
      <w:pPr>
        <w:pStyle w:val="10"/>
        <w:tabs>
          <w:tab w:val="right" w:leader="dot" w:pos="8306"/>
        </w:tabs>
        <w:rPr>
          <w:rFonts w:hint="eastAsia" w:ascii="Times New Roman" w:hAnsi="Times New Roman" w:eastAsia="楷体_GB2312"/>
          <w:bCs/>
          <w:sz w:val="20"/>
          <w:szCs w:val="28"/>
          <w:lang w:eastAsia="zh-CN"/>
        </w:rPr>
      </w:pPr>
      <w:r>
        <w:rPr>
          <w:rFonts w:ascii="Times New Roman" w:hAnsi="Times New Roman" w:eastAsia="楷体_GB2312"/>
          <w:sz w:val="28"/>
          <w:szCs w:val="28"/>
        </w:rPr>
        <w:t>附表</w:t>
      </w:r>
      <w:r>
        <w:rPr>
          <w:rFonts w:hint="eastAsia" w:ascii="Times New Roman" w:hAnsi="Times New Roman" w:eastAsia="楷体_GB2312"/>
          <w:sz w:val="28"/>
          <w:szCs w:val="28"/>
        </w:rPr>
        <w:t>3</w:t>
      </w:r>
      <w:r>
        <w:rPr>
          <w:rFonts w:ascii="Times New Roman" w:hAnsi="Times New Roman" w:eastAsia="楷体_GB2312"/>
          <w:sz w:val="28"/>
          <w:szCs w:val="28"/>
        </w:rPr>
        <w:t>：“十四五”期间</w:t>
      </w:r>
      <w:r>
        <w:rPr>
          <w:rFonts w:hint="eastAsia" w:ascii="Times New Roman" w:hAnsi="Times New Roman" w:eastAsia="楷体_GB2312"/>
          <w:color w:val="auto"/>
          <w:sz w:val="28"/>
          <w:szCs w:val="28"/>
          <w:lang w:eastAsia="zh-CN"/>
        </w:rPr>
        <w:t>保德县</w:t>
      </w:r>
      <w:r>
        <w:rPr>
          <w:rFonts w:ascii="Times New Roman" w:hAnsi="Times New Roman" w:eastAsia="楷体_GB2312"/>
          <w:sz w:val="28"/>
          <w:szCs w:val="28"/>
        </w:rPr>
        <w:t>消防车辆配备规划表</w:t>
      </w:r>
      <w:r>
        <w:rPr>
          <w:rFonts w:ascii="Times New Roman" w:hAnsi="Times New Roman"/>
          <w:position w:val="8"/>
          <w:sz w:val="28"/>
          <w:szCs w:val="28"/>
        </w:rPr>
        <w:tab/>
      </w:r>
      <w:r>
        <w:rPr>
          <w:rFonts w:hint="eastAsia" w:ascii="Times New Roman" w:hAnsi="Times New Roman" w:eastAsia="楷体_GB2312"/>
          <w:sz w:val="28"/>
          <w:szCs w:val="28"/>
        </w:rPr>
        <w:t>3</w:t>
      </w:r>
      <w:bookmarkStart w:id="0" w:name="_Toc516400808"/>
      <w:r>
        <w:rPr>
          <w:rFonts w:hint="eastAsia" w:ascii="Times New Roman" w:hAnsi="Times New Roman" w:eastAsia="楷体_GB2312"/>
          <w:sz w:val="28"/>
          <w:szCs w:val="28"/>
          <w:lang w:val="en-US" w:eastAsia="zh-CN"/>
        </w:rPr>
        <w:t>8</w:t>
      </w:r>
    </w:p>
    <w:p>
      <w:r>
        <w:br w:type="page"/>
      </w:r>
    </w:p>
    <w:p>
      <w:pPr>
        <w:pStyle w:val="10"/>
        <w:tabs>
          <w:tab w:val="right" w:leader="dot" w:pos="8306"/>
        </w:tabs>
        <w:spacing w:line="580" w:lineRule="exact"/>
        <w:jc w:val="center"/>
        <w:rPr>
          <w:rFonts w:ascii="Times New Roman" w:hAnsi="Times New Roman" w:eastAsia="Arial Unicode MS"/>
          <w:bCs/>
          <w:sz w:val="44"/>
          <w:szCs w:val="44"/>
        </w:rPr>
      </w:pPr>
      <w:r>
        <w:rPr>
          <w:rFonts w:ascii="Times New Roman" w:hAnsi="Times New Roman" w:eastAsia="Arial Unicode MS"/>
          <w:bCs/>
          <w:sz w:val="44"/>
          <w:szCs w:val="44"/>
        </w:rPr>
        <w:t>序  言</w:t>
      </w:r>
      <w:bookmarkEnd w:id="0"/>
    </w:p>
    <w:p>
      <w:pPr>
        <w:spacing w:line="560" w:lineRule="exact"/>
        <w:ind w:firstLine="480" w:firstLineChars="200"/>
        <w:rPr>
          <w:szCs w:val="32"/>
        </w:rPr>
      </w:pP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“十四五”时期是我国全面建成小康社会、实现第一个百年奋斗目标之后，乘势而上开启全面建设社会主义现代化国家新征程、向第二个百年奋斗目标进军的开局起步期，我国将进入新的发展阶段。</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outlineLvl w:val="1"/>
        <w:rPr>
          <w:rFonts w:hint="eastAsia" w:ascii="仿宋" w:hAnsi="仿宋" w:eastAsia="仿宋" w:cs="仿宋"/>
          <w:sz w:val="32"/>
          <w:szCs w:val="32"/>
        </w:rPr>
      </w:pPr>
      <w:r>
        <w:rPr>
          <w:rFonts w:hint="eastAsia" w:ascii="仿宋" w:hAnsi="仿宋" w:eastAsia="仿宋" w:cs="仿宋"/>
          <w:sz w:val="32"/>
          <w:szCs w:val="32"/>
        </w:rPr>
        <w:t>消防工作是国家治理体系和治理能力的重要组成部分，涉及经济社会发展的方方面面，同人民群众生产生活息息相关。加快提升</w:t>
      </w:r>
      <w:r>
        <w:rPr>
          <w:rFonts w:hint="eastAsia" w:ascii="仿宋" w:hAnsi="仿宋" w:eastAsia="仿宋" w:cs="仿宋"/>
          <w:sz w:val="32"/>
          <w:szCs w:val="32"/>
          <w:lang w:eastAsia="zh-CN"/>
        </w:rPr>
        <w:t>保德县</w:t>
      </w:r>
      <w:r>
        <w:rPr>
          <w:rFonts w:hint="eastAsia" w:ascii="仿宋" w:hAnsi="仿宋" w:eastAsia="仿宋" w:cs="仿宋"/>
          <w:sz w:val="32"/>
          <w:szCs w:val="32"/>
        </w:rPr>
        <w:t>消防救援能力，对统筹安全与发展，保障人民生命财产安全具有重要意义。紧扣时代性、科学性、指导性、操作性要求，编制和实施《</w:t>
      </w:r>
      <w:r>
        <w:rPr>
          <w:rFonts w:hint="eastAsia" w:ascii="仿宋" w:hAnsi="仿宋" w:eastAsia="仿宋" w:cs="仿宋"/>
          <w:sz w:val="32"/>
          <w:szCs w:val="32"/>
          <w:lang w:eastAsia="zh-CN"/>
        </w:rPr>
        <w:t>保德县</w:t>
      </w:r>
      <w:r>
        <w:rPr>
          <w:rFonts w:hint="eastAsia" w:ascii="仿宋" w:hAnsi="仿宋" w:eastAsia="仿宋" w:cs="仿宋"/>
          <w:sz w:val="32"/>
          <w:szCs w:val="32"/>
        </w:rPr>
        <w:t>消防事业发展“十四五”规划》，是积极适应新变化，妥善应对新挑战，牢牢抓住新机遇，全面落实新要求，加快推进全县消防事业发展的重要举措。</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规划主要依据《中华人民共和国城乡规划法》、《中华人民共和国消防法》（以下简称《消防法》）、《关于组建国家综合性消防救援队伍框架方案》、《关于深化消防执法改革的意见》、《山西省消防条例》、《山西省消防安全责任制实施办法》、《城市消防规划规范》、《城市消防站建设标准》等法律法规和政策文件，结合《山西省消防事业发展“十四五”规划》、《忻州市国民经济和社会发展第十四个五年规划和二○三五年远景目标纲要（草案）》等文件，提出了“十四五”时期保德县消防事业发展的总体目标、战略重点、主要任务和保障措施，是指导“十四五”时期全县消防事业科学发展的指导性文件。</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本规划实施期限为2021年至2025年。</w:t>
      </w:r>
    </w:p>
    <w:p>
      <w:pPr>
        <w:spacing w:line="360" w:lineRule="auto"/>
        <w:ind w:firstLine="480" w:firstLineChars="200"/>
        <w:rPr>
          <w:rFonts w:eastAsia="仿宋"/>
          <w:szCs w:val="32"/>
        </w:rPr>
      </w:pPr>
    </w:p>
    <w:p>
      <w:pPr>
        <w:spacing w:line="360" w:lineRule="auto"/>
        <w:ind w:firstLine="480" w:firstLineChars="200"/>
        <w:rPr>
          <w:rFonts w:eastAsia="仿宋"/>
          <w:szCs w:val="32"/>
        </w:rPr>
      </w:pPr>
    </w:p>
    <w:p>
      <w:pPr>
        <w:pStyle w:val="2"/>
        <w:rPr>
          <w:rFonts w:eastAsia="仿宋"/>
          <w:szCs w:val="32"/>
        </w:rPr>
      </w:pPr>
    </w:p>
    <w:p>
      <w:pPr>
        <w:rPr>
          <w:rFonts w:eastAsia="仿宋"/>
          <w:szCs w:val="32"/>
        </w:rPr>
      </w:pPr>
    </w:p>
    <w:p>
      <w:pPr>
        <w:pStyle w:val="2"/>
        <w:rPr>
          <w:rFonts w:eastAsia="仿宋"/>
          <w:szCs w:val="32"/>
        </w:rPr>
      </w:pPr>
    </w:p>
    <w:p>
      <w:pPr>
        <w:rPr>
          <w:rFonts w:eastAsia="仿宋"/>
          <w:szCs w:val="32"/>
        </w:rPr>
      </w:pPr>
    </w:p>
    <w:p>
      <w:pPr>
        <w:pStyle w:val="2"/>
        <w:rPr>
          <w:rFonts w:eastAsia="仿宋"/>
          <w:szCs w:val="32"/>
        </w:rPr>
      </w:pPr>
    </w:p>
    <w:p>
      <w:pPr>
        <w:rPr>
          <w:rFonts w:eastAsia="仿宋"/>
          <w:szCs w:val="32"/>
        </w:rPr>
      </w:pPr>
    </w:p>
    <w:p>
      <w:pPr>
        <w:pStyle w:val="2"/>
        <w:rPr>
          <w:rFonts w:eastAsia="仿宋"/>
          <w:szCs w:val="32"/>
        </w:rPr>
      </w:pPr>
    </w:p>
    <w:p>
      <w:pPr>
        <w:rPr>
          <w:rFonts w:eastAsia="仿宋"/>
          <w:szCs w:val="32"/>
        </w:rPr>
      </w:pPr>
    </w:p>
    <w:p>
      <w:pPr>
        <w:pStyle w:val="2"/>
        <w:rPr>
          <w:rFonts w:eastAsia="仿宋"/>
          <w:szCs w:val="32"/>
        </w:rPr>
      </w:pPr>
    </w:p>
    <w:p>
      <w:pPr>
        <w:rPr>
          <w:rFonts w:eastAsia="仿宋"/>
          <w:szCs w:val="32"/>
        </w:rPr>
      </w:pPr>
    </w:p>
    <w:p>
      <w:pPr>
        <w:pStyle w:val="2"/>
        <w:rPr>
          <w:rFonts w:eastAsia="仿宋"/>
          <w:szCs w:val="32"/>
        </w:rPr>
      </w:pPr>
    </w:p>
    <w:p>
      <w:pPr>
        <w:rPr>
          <w:rFonts w:eastAsia="仿宋"/>
          <w:szCs w:val="32"/>
        </w:rPr>
      </w:pPr>
    </w:p>
    <w:p>
      <w:pPr>
        <w:pStyle w:val="2"/>
        <w:rPr>
          <w:rFonts w:eastAsia="仿宋"/>
          <w:szCs w:val="32"/>
        </w:rPr>
      </w:pPr>
    </w:p>
    <w:p>
      <w:pPr>
        <w:rPr>
          <w:rFonts w:eastAsia="仿宋"/>
          <w:szCs w:val="32"/>
        </w:rPr>
      </w:pPr>
    </w:p>
    <w:p>
      <w:pPr>
        <w:pStyle w:val="2"/>
      </w:pPr>
    </w:p>
    <w:p>
      <w:pPr>
        <w:spacing w:line="360" w:lineRule="auto"/>
        <w:ind w:firstLine="480" w:firstLineChars="200"/>
        <w:rPr>
          <w:rFonts w:eastAsia="仿宋"/>
          <w:szCs w:val="32"/>
        </w:rPr>
      </w:pP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outlineLvl w:val="0"/>
        <w:rPr>
          <w:rFonts w:hint="eastAsia" w:ascii="仿宋" w:hAnsi="仿宋" w:eastAsia="仿宋" w:cs="仿宋"/>
          <w:sz w:val="32"/>
          <w:szCs w:val="32"/>
        </w:rPr>
      </w:pPr>
      <w:bookmarkStart w:id="1" w:name="_Toc1121725815"/>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rPr>
        <w:t>一、发展基础</w:t>
      </w:r>
      <w:bookmarkEnd w:id="1"/>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outlineLvl w:val="1"/>
        <w:rPr>
          <w:rFonts w:hint="eastAsia" w:ascii="仿宋" w:hAnsi="仿宋" w:eastAsia="仿宋" w:cs="仿宋"/>
          <w:sz w:val="32"/>
          <w:szCs w:val="32"/>
        </w:rPr>
      </w:pPr>
      <w:bookmarkStart w:id="2" w:name="_Toc2093528264"/>
      <w:r>
        <w:rPr>
          <w:rFonts w:hint="eastAsia" w:ascii="仿宋" w:hAnsi="仿宋" w:eastAsia="仿宋" w:cs="仿宋"/>
          <w:sz w:val="32"/>
          <w:szCs w:val="32"/>
        </w:rPr>
        <w:t>（一）“十三五”消防事业发展成果</w:t>
      </w:r>
      <w:bookmarkEnd w:id="2"/>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十三五”时期，全县各级党委、政府高度重视消防工作，深入贯彻中央和省委省政府、市委市政府关于安全生产及消防安全的重要决策部署，面对错综复杂的国内外环境、经济下行压力和新冠肺炎疫情冲击，坚持以人民为中心的发展思想，凝心聚力、克难攻坚，不断健全和落实消防安全责任制，提高公共消防安全水平，社会面火灾事故得到基本控制，消防基础设施得到进一步加强，全民消防安全意识和消防素质日益提高，消防安全环境不断改善，人民群众生命财产安全得到有效保障，消防救援事业取得了长足发展。</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bCs/>
          <w:sz w:val="32"/>
          <w:szCs w:val="32"/>
        </w:rPr>
        <w:t>1.</w:t>
      </w:r>
      <w:r>
        <w:rPr>
          <w:rFonts w:hint="eastAsia" w:ascii="仿宋" w:hAnsi="仿宋" w:eastAsia="仿宋" w:cs="仿宋"/>
          <w:b/>
          <w:bCs/>
          <w:sz w:val="32"/>
          <w:szCs w:val="32"/>
        </w:rPr>
        <w:t>消防安全形势持续平稳。</w:t>
      </w:r>
      <w:r>
        <w:rPr>
          <w:rFonts w:hint="eastAsia" w:ascii="仿宋" w:hAnsi="仿宋" w:eastAsia="仿宋" w:cs="仿宋"/>
          <w:sz w:val="32"/>
          <w:szCs w:val="32"/>
        </w:rPr>
        <w:t>深入开展消防法治化建设，常态化开展火灾隐患排查，社会面火灾形势总体平稳。部署开展消防安全行动，紧盯“防大火”和“控小火”重点领域，持续推进人员密集场所的重点单位、文物古建筑单位、高层建筑、老旧小区等消防安全整治</w:t>
      </w:r>
      <w:r>
        <w:rPr>
          <w:rFonts w:hint="eastAsia" w:ascii="仿宋" w:hAnsi="仿宋" w:eastAsia="仿宋" w:cs="仿宋"/>
          <w:color w:val="000000"/>
          <w:sz w:val="32"/>
          <w:szCs w:val="32"/>
        </w:rPr>
        <w:t>，推动全县2个老旧小区完成消防设施改造，设置电动车集中充电场所</w:t>
      </w: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rPr>
        <w:t>处。“十</w:t>
      </w:r>
      <w:r>
        <w:rPr>
          <w:rFonts w:hint="eastAsia" w:ascii="仿宋" w:hAnsi="仿宋" w:eastAsia="仿宋" w:cs="仿宋"/>
          <w:sz w:val="32"/>
          <w:szCs w:val="32"/>
        </w:rPr>
        <w:t>三五”期间，全县累计检查单位7183家，整改隐患7936处，查封单位88家，责令三停63家，罚款179.41万元 。“十三五”时期</w:t>
      </w:r>
      <w:r>
        <w:rPr>
          <w:rFonts w:hint="eastAsia" w:ascii="仿宋" w:hAnsi="仿宋" w:eastAsia="仿宋" w:cs="仿宋"/>
          <w:color w:val="000000"/>
          <w:sz w:val="32"/>
          <w:szCs w:val="32"/>
        </w:rPr>
        <w:t>，全县共发生火灾</w:t>
      </w:r>
      <w:r>
        <w:rPr>
          <w:rFonts w:hint="eastAsia" w:ascii="仿宋" w:hAnsi="仿宋" w:eastAsia="仿宋" w:cs="仿宋"/>
          <w:color w:val="000000"/>
          <w:sz w:val="32"/>
          <w:szCs w:val="32"/>
          <w:lang w:val="en-US" w:eastAsia="zh-CN"/>
        </w:rPr>
        <w:t>63</w:t>
      </w:r>
      <w:r>
        <w:rPr>
          <w:rFonts w:hint="eastAsia" w:ascii="仿宋" w:hAnsi="仿宋" w:eastAsia="仿宋" w:cs="仿宋"/>
          <w:color w:val="000000"/>
          <w:sz w:val="32"/>
          <w:szCs w:val="32"/>
        </w:rPr>
        <w:t>起，死亡人数</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人，受伤人数0人，直接经济损失</w:t>
      </w:r>
      <w:r>
        <w:rPr>
          <w:rFonts w:hint="eastAsia" w:ascii="仿宋" w:hAnsi="仿宋" w:eastAsia="仿宋" w:cs="仿宋"/>
          <w:color w:val="000000"/>
          <w:sz w:val="32"/>
          <w:szCs w:val="32"/>
          <w:lang w:val="en-US" w:eastAsia="zh-CN"/>
        </w:rPr>
        <w:t>59.4</w:t>
      </w:r>
      <w:r>
        <w:rPr>
          <w:rFonts w:hint="eastAsia" w:ascii="仿宋" w:hAnsi="仿宋" w:eastAsia="仿宋" w:cs="仿宋"/>
          <w:color w:val="000000"/>
          <w:sz w:val="32"/>
          <w:szCs w:val="32"/>
        </w:rPr>
        <w:t>万元，较“十二五”时期，分别下降</w:t>
      </w:r>
      <w:r>
        <w:rPr>
          <w:rFonts w:hint="eastAsia" w:ascii="仿宋" w:hAnsi="仿宋" w:eastAsia="仿宋" w:cs="仿宋"/>
          <w:color w:val="000000"/>
          <w:sz w:val="32"/>
          <w:szCs w:val="32"/>
          <w:lang w:val="en-US" w:eastAsia="zh-CN"/>
        </w:rPr>
        <w:t>50.39</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上升</w:t>
      </w:r>
      <w:r>
        <w:rPr>
          <w:rFonts w:hint="eastAsia" w:ascii="仿宋" w:hAnsi="仿宋" w:eastAsia="仿宋" w:cs="仿宋"/>
          <w:color w:val="000000"/>
          <w:sz w:val="32"/>
          <w:szCs w:val="32"/>
        </w:rPr>
        <w:t>了100%、下降100%、下降</w:t>
      </w:r>
      <w:r>
        <w:rPr>
          <w:rFonts w:hint="eastAsia" w:ascii="仿宋" w:hAnsi="仿宋" w:eastAsia="仿宋" w:cs="仿宋"/>
          <w:color w:val="000000"/>
          <w:sz w:val="32"/>
          <w:szCs w:val="32"/>
          <w:lang w:val="en-US" w:eastAsia="zh-CN"/>
        </w:rPr>
        <w:t>64.70</w:t>
      </w:r>
      <w:r>
        <w:rPr>
          <w:rFonts w:hint="eastAsia" w:ascii="仿宋" w:hAnsi="仿宋" w:eastAsia="仿宋" w:cs="仿宋"/>
          <w:color w:val="000000"/>
          <w:sz w:val="32"/>
          <w:szCs w:val="32"/>
        </w:rPr>
        <w:t>%，未发生重大以上和影响特别重大的火灾事故。</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rPr>
          <w:rFonts w:hint="eastAsia" w:ascii="仿宋" w:hAnsi="仿宋" w:eastAsia="仿宋" w:cs="仿宋"/>
          <w:bCs/>
          <w:sz w:val="32"/>
          <w:szCs w:val="32"/>
        </w:rPr>
      </w:pPr>
      <w:r>
        <w:rPr>
          <w:rFonts w:hint="eastAsia" w:ascii="仿宋" w:hAnsi="仿宋" w:eastAsia="仿宋" w:cs="仿宋"/>
          <w:bCs/>
          <w:sz w:val="32"/>
          <w:szCs w:val="32"/>
        </w:rPr>
        <w:t>表1：消防事业发展“十三五”指标完成情况</w:t>
      </w:r>
    </w:p>
    <w:tbl>
      <w:tblPr>
        <w:tblStyle w:val="12"/>
        <w:tblW w:w="0" w:type="auto"/>
        <w:tblInd w:w="0" w:type="dxa"/>
        <w:tblLayout w:type="fixed"/>
        <w:tblCellMar>
          <w:top w:w="0" w:type="dxa"/>
          <w:left w:w="108" w:type="dxa"/>
          <w:bottom w:w="0" w:type="dxa"/>
          <w:right w:w="108" w:type="dxa"/>
        </w:tblCellMar>
      </w:tblPr>
      <w:tblGrid>
        <w:gridCol w:w="2093"/>
        <w:gridCol w:w="1330"/>
        <w:gridCol w:w="1780"/>
        <w:gridCol w:w="1717"/>
        <w:gridCol w:w="2022"/>
      </w:tblGrid>
      <w:tr>
        <w:tblPrEx>
          <w:tblCellMar>
            <w:top w:w="0" w:type="dxa"/>
            <w:left w:w="108" w:type="dxa"/>
            <w:bottom w:w="0" w:type="dxa"/>
            <w:right w:w="108" w:type="dxa"/>
          </w:tblCellMar>
        </w:tblPrEx>
        <w:trPr>
          <w:trHeight w:val="976" w:hRule="atLeast"/>
        </w:trPr>
        <w:tc>
          <w:tcPr>
            <w:tcW w:w="2093" w:type="dxa"/>
            <w:tcBorders>
              <w:top w:val="single" w:color="auto" w:sz="8" w:space="0"/>
              <w:left w:val="single" w:color="auto" w:sz="8" w:space="0"/>
              <w:bottom w:val="single" w:color="auto" w:sz="4" w:space="0"/>
              <w:right w:val="single" w:color="auto" w:sz="4" w:space="0"/>
              <w:tl2br w:val="single" w:color="auto" w:sz="4" w:space="0"/>
            </w:tcBorders>
            <w:vAlign w:val="center"/>
          </w:tcPr>
          <w:p>
            <w:pPr>
              <w:keepNext w:val="0"/>
              <w:keepLines w:val="0"/>
              <w:pageBreakBefore w:val="0"/>
              <w:widowControl/>
              <w:kinsoku/>
              <w:wordWrap/>
              <w:overflowPunct/>
              <w:topLinePunct w:val="0"/>
              <w:bidi w:val="0"/>
              <w:adjustRightInd w:val="0"/>
              <w:snapToGrid w:val="0"/>
              <w:spacing w:line="360" w:lineRule="auto"/>
              <w:ind w:firstLine="640"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项目</w:t>
            </w:r>
          </w:p>
          <w:p>
            <w:pPr>
              <w:keepNext w:val="0"/>
              <w:keepLines w:val="0"/>
              <w:pageBreakBefore w:val="0"/>
              <w:widowControl/>
              <w:kinsoku/>
              <w:wordWrap/>
              <w:overflowPunct/>
              <w:topLinePunct w:val="0"/>
              <w:bidi w:val="0"/>
              <w:adjustRightInd w:val="0"/>
              <w:snapToGrid w:val="0"/>
              <w:spacing w:line="360" w:lineRule="auto"/>
              <w:jc w:val="both"/>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年度</w:t>
            </w:r>
          </w:p>
        </w:tc>
        <w:tc>
          <w:tcPr>
            <w:tcW w:w="1330" w:type="dxa"/>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起数</w:t>
            </w:r>
          </w:p>
        </w:tc>
        <w:tc>
          <w:tcPr>
            <w:tcW w:w="1780" w:type="dxa"/>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亡人</w:t>
            </w:r>
          </w:p>
        </w:tc>
        <w:tc>
          <w:tcPr>
            <w:tcW w:w="1717" w:type="dxa"/>
            <w:tcBorders>
              <w:top w:val="single" w:color="auto" w:sz="8"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伤人</w:t>
            </w:r>
          </w:p>
        </w:tc>
        <w:tc>
          <w:tcPr>
            <w:tcW w:w="2022" w:type="dxa"/>
            <w:tcBorders>
              <w:top w:val="single" w:color="auto" w:sz="8" w:space="0"/>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直接损失（万元）</w:t>
            </w:r>
          </w:p>
        </w:tc>
      </w:tr>
      <w:tr>
        <w:tblPrEx>
          <w:tblCellMar>
            <w:top w:w="0" w:type="dxa"/>
            <w:left w:w="108" w:type="dxa"/>
            <w:bottom w:w="0" w:type="dxa"/>
            <w:right w:w="108" w:type="dxa"/>
          </w:tblCellMar>
        </w:tblPrEx>
        <w:trPr>
          <w:trHeight w:val="454" w:hRule="atLeast"/>
        </w:trPr>
        <w:tc>
          <w:tcPr>
            <w:tcW w:w="2093" w:type="dxa"/>
            <w:tcBorders>
              <w:top w:val="nil"/>
              <w:left w:val="single" w:color="auto" w:sz="8" w:space="0"/>
              <w:bottom w:val="single" w:color="auto" w:sz="4" w:space="0"/>
              <w:right w:val="single" w:color="auto" w:sz="4" w:space="0"/>
            </w:tcBorders>
            <w:shd w:val="clear" w:color="auto" w:fill="DCE6F2"/>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十二五小计</w:t>
            </w:r>
          </w:p>
        </w:tc>
        <w:tc>
          <w:tcPr>
            <w:tcW w:w="1330" w:type="dxa"/>
            <w:tcBorders>
              <w:top w:val="nil"/>
              <w:left w:val="nil"/>
              <w:bottom w:val="single" w:color="auto" w:sz="4" w:space="0"/>
              <w:right w:val="single" w:color="auto" w:sz="4" w:space="0"/>
            </w:tcBorders>
            <w:shd w:val="clear" w:color="auto" w:fill="DCE6F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color w:val="000000"/>
                <w:kern w:val="0"/>
                <w:sz w:val="32"/>
                <w:szCs w:val="32"/>
                <w:lang w:val="en-US" w:eastAsia="zh-CN"/>
              </w:rPr>
            </w:pPr>
            <w:r>
              <w:rPr>
                <w:rFonts w:hint="eastAsia" w:ascii="仿宋" w:hAnsi="仿宋" w:eastAsia="仿宋" w:cs="仿宋"/>
                <w:b/>
                <w:color w:val="000000"/>
                <w:kern w:val="0"/>
                <w:sz w:val="32"/>
                <w:szCs w:val="32"/>
                <w:lang w:val="en-US" w:eastAsia="zh-CN"/>
              </w:rPr>
              <w:t>127</w:t>
            </w:r>
          </w:p>
        </w:tc>
        <w:tc>
          <w:tcPr>
            <w:tcW w:w="1780" w:type="dxa"/>
            <w:tcBorders>
              <w:top w:val="nil"/>
              <w:left w:val="nil"/>
              <w:bottom w:val="single" w:color="auto" w:sz="4" w:space="0"/>
              <w:right w:val="single" w:color="auto" w:sz="4" w:space="0"/>
            </w:tcBorders>
            <w:shd w:val="clear" w:color="auto" w:fill="DCE6F2"/>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643" w:firstLineChars="200"/>
              <w:jc w:val="both"/>
              <w:textAlignment w:val="auto"/>
              <w:rPr>
                <w:rFonts w:hint="eastAsia" w:ascii="仿宋" w:hAnsi="仿宋" w:eastAsia="仿宋" w:cs="仿宋"/>
                <w:b/>
                <w:color w:val="000000"/>
                <w:kern w:val="0"/>
                <w:sz w:val="32"/>
                <w:szCs w:val="32"/>
                <w:lang w:eastAsia="zh-CN"/>
              </w:rPr>
            </w:pPr>
            <w:r>
              <w:rPr>
                <w:rFonts w:hint="eastAsia" w:ascii="仿宋" w:hAnsi="仿宋" w:eastAsia="仿宋" w:cs="仿宋"/>
                <w:b/>
                <w:color w:val="000000"/>
                <w:kern w:val="0"/>
                <w:sz w:val="32"/>
                <w:szCs w:val="32"/>
                <w:lang w:val="en-US" w:eastAsia="zh-CN"/>
              </w:rPr>
              <w:t>0</w:t>
            </w:r>
          </w:p>
        </w:tc>
        <w:tc>
          <w:tcPr>
            <w:tcW w:w="1717" w:type="dxa"/>
            <w:tcBorders>
              <w:top w:val="nil"/>
              <w:left w:val="nil"/>
              <w:bottom w:val="single" w:color="auto" w:sz="4" w:space="0"/>
              <w:right w:val="single" w:color="auto" w:sz="4" w:space="0"/>
            </w:tcBorders>
            <w:shd w:val="clear" w:color="auto" w:fill="DCE6F2"/>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643" w:firstLineChars="200"/>
              <w:jc w:val="both"/>
              <w:textAlignment w:val="auto"/>
              <w:rPr>
                <w:rFonts w:hint="eastAsia" w:ascii="仿宋" w:hAnsi="仿宋" w:eastAsia="仿宋" w:cs="仿宋"/>
                <w:b/>
                <w:color w:val="000000"/>
                <w:kern w:val="0"/>
                <w:sz w:val="32"/>
                <w:szCs w:val="32"/>
                <w:lang w:val="en-US" w:eastAsia="zh-CN"/>
              </w:rPr>
            </w:pPr>
            <w:r>
              <w:rPr>
                <w:rFonts w:hint="eastAsia" w:ascii="仿宋" w:hAnsi="仿宋" w:eastAsia="仿宋" w:cs="仿宋"/>
                <w:b/>
                <w:color w:val="000000"/>
                <w:kern w:val="0"/>
                <w:sz w:val="32"/>
                <w:szCs w:val="32"/>
                <w:lang w:val="en-US" w:eastAsia="zh-CN"/>
              </w:rPr>
              <w:t>0</w:t>
            </w:r>
          </w:p>
        </w:tc>
        <w:tc>
          <w:tcPr>
            <w:tcW w:w="2022" w:type="dxa"/>
            <w:tcBorders>
              <w:top w:val="nil"/>
              <w:left w:val="nil"/>
              <w:bottom w:val="single" w:color="auto" w:sz="4" w:space="0"/>
              <w:right w:val="single" w:color="auto" w:sz="8" w:space="0"/>
            </w:tcBorders>
            <w:shd w:val="clear" w:color="auto" w:fill="DCE6F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color w:val="000000"/>
                <w:kern w:val="0"/>
                <w:sz w:val="32"/>
                <w:szCs w:val="32"/>
                <w:lang w:val="en-US" w:eastAsia="zh-CN"/>
              </w:rPr>
            </w:pPr>
            <w:r>
              <w:rPr>
                <w:rFonts w:hint="eastAsia" w:ascii="仿宋" w:hAnsi="仿宋" w:eastAsia="仿宋" w:cs="仿宋"/>
                <w:b/>
                <w:color w:val="000000"/>
                <w:kern w:val="0"/>
                <w:sz w:val="32"/>
                <w:szCs w:val="32"/>
                <w:lang w:val="en-US" w:eastAsia="zh-CN"/>
              </w:rPr>
              <w:t>168.3</w:t>
            </w:r>
          </w:p>
        </w:tc>
      </w:tr>
      <w:tr>
        <w:tblPrEx>
          <w:tblCellMar>
            <w:top w:w="0" w:type="dxa"/>
            <w:left w:w="108" w:type="dxa"/>
            <w:bottom w:w="0" w:type="dxa"/>
            <w:right w:w="108" w:type="dxa"/>
          </w:tblCellMar>
        </w:tblPrEx>
        <w:trPr>
          <w:trHeight w:val="454" w:hRule="atLeast"/>
        </w:trPr>
        <w:tc>
          <w:tcPr>
            <w:tcW w:w="2093" w:type="dxa"/>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2016</w:t>
            </w:r>
          </w:p>
        </w:tc>
        <w:tc>
          <w:tcPr>
            <w:tcW w:w="13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28</w:t>
            </w:r>
          </w:p>
        </w:tc>
        <w:tc>
          <w:tcPr>
            <w:tcW w:w="17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0</w:t>
            </w:r>
          </w:p>
        </w:tc>
        <w:tc>
          <w:tcPr>
            <w:tcW w:w="17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0</w:t>
            </w:r>
          </w:p>
        </w:tc>
        <w:tc>
          <w:tcPr>
            <w:tcW w:w="2022"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16.5</w:t>
            </w:r>
          </w:p>
        </w:tc>
      </w:tr>
      <w:tr>
        <w:tblPrEx>
          <w:tblCellMar>
            <w:top w:w="0" w:type="dxa"/>
            <w:left w:w="108" w:type="dxa"/>
            <w:bottom w:w="0" w:type="dxa"/>
            <w:right w:w="108" w:type="dxa"/>
          </w:tblCellMar>
        </w:tblPrEx>
        <w:trPr>
          <w:trHeight w:val="454" w:hRule="atLeast"/>
        </w:trPr>
        <w:tc>
          <w:tcPr>
            <w:tcW w:w="2093" w:type="dxa"/>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2017</w:t>
            </w:r>
          </w:p>
        </w:tc>
        <w:tc>
          <w:tcPr>
            <w:tcW w:w="133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11</w:t>
            </w:r>
          </w:p>
        </w:tc>
        <w:tc>
          <w:tcPr>
            <w:tcW w:w="17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0</w:t>
            </w:r>
          </w:p>
        </w:tc>
        <w:tc>
          <w:tcPr>
            <w:tcW w:w="17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0</w:t>
            </w:r>
          </w:p>
        </w:tc>
        <w:tc>
          <w:tcPr>
            <w:tcW w:w="2022" w:type="dxa"/>
            <w:tcBorders>
              <w:top w:val="nil"/>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8.4</w:t>
            </w:r>
          </w:p>
        </w:tc>
      </w:tr>
      <w:tr>
        <w:tblPrEx>
          <w:tblCellMar>
            <w:top w:w="0" w:type="dxa"/>
            <w:left w:w="108" w:type="dxa"/>
            <w:bottom w:w="0" w:type="dxa"/>
            <w:right w:w="108" w:type="dxa"/>
          </w:tblCellMar>
        </w:tblPrEx>
        <w:trPr>
          <w:trHeight w:val="405" w:hRule="atLeast"/>
        </w:trPr>
        <w:tc>
          <w:tcPr>
            <w:tcW w:w="2093" w:type="dxa"/>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2018</w:t>
            </w:r>
          </w:p>
        </w:tc>
        <w:tc>
          <w:tcPr>
            <w:tcW w:w="1330"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24</w:t>
            </w:r>
          </w:p>
        </w:tc>
        <w:tc>
          <w:tcPr>
            <w:tcW w:w="17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jc w:val="both"/>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1</w:t>
            </w:r>
          </w:p>
        </w:tc>
        <w:tc>
          <w:tcPr>
            <w:tcW w:w="17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0</w:t>
            </w:r>
          </w:p>
        </w:tc>
        <w:tc>
          <w:tcPr>
            <w:tcW w:w="2022" w:type="dxa"/>
            <w:vMerge w:val="restart"/>
            <w:tcBorders>
              <w:top w:val="nil"/>
              <w:left w:val="nil"/>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34.5</w:t>
            </w:r>
          </w:p>
        </w:tc>
      </w:tr>
      <w:tr>
        <w:tblPrEx>
          <w:tblCellMar>
            <w:top w:w="0" w:type="dxa"/>
            <w:left w:w="108" w:type="dxa"/>
            <w:bottom w:w="0" w:type="dxa"/>
            <w:right w:w="108" w:type="dxa"/>
          </w:tblCellMar>
        </w:tblPrEx>
        <w:trPr>
          <w:trHeight w:val="454" w:hRule="atLeast"/>
        </w:trPr>
        <w:tc>
          <w:tcPr>
            <w:tcW w:w="2093" w:type="dxa"/>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2019</w:t>
            </w:r>
          </w:p>
        </w:tc>
        <w:tc>
          <w:tcPr>
            <w:tcW w:w="1330" w:type="dxa"/>
            <w:vMerge w:val="continue"/>
            <w:tcBorders>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jc w:val="center"/>
              <w:textAlignment w:val="auto"/>
              <w:rPr>
                <w:rFonts w:hint="eastAsia" w:ascii="仿宋" w:hAnsi="仿宋" w:eastAsia="仿宋" w:cs="仿宋"/>
                <w:color w:val="000000"/>
                <w:kern w:val="0"/>
                <w:sz w:val="32"/>
                <w:szCs w:val="32"/>
              </w:rPr>
            </w:pPr>
          </w:p>
        </w:tc>
        <w:tc>
          <w:tcPr>
            <w:tcW w:w="17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0</w:t>
            </w:r>
          </w:p>
        </w:tc>
        <w:tc>
          <w:tcPr>
            <w:tcW w:w="17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0</w:t>
            </w:r>
          </w:p>
        </w:tc>
        <w:tc>
          <w:tcPr>
            <w:tcW w:w="2022" w:type="dxa"/>
            <w:vMerge w:val="continue"/>
            <w:tcBorders>
              <w:left w:val="nil"/>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jc w:val="center"/>
              <w:textAlignment w:val="auto"/>
              <w:rPr>
                <w:rFonts w:hint="eastAsia" w:ascii="仿宋" w:hAnsi="仿宋" w:eastAsia="仿宋" w:cs="仿宋"/>
                <w:color w:val="000000"/>
                <w:kern w:val="0"/>
                <w:sz w:val="32"/>
                <w:szCs w:val="32"/>
              </w:rPr>
            </w:pPr>
          </w:p>
        </w:tc>
      </w:tr>
      <w:tr>
        <w:tblPrEx>
          <w:tblCellMar>
            <w:top w:w="0" w:type="dxa"/>
            <w:left w:w="108" w:type="dxa"/>
            <w:bottom w:w="0" w:type="dxa"/>
            <w:right w:w="108" w:type="dxa"/>
          </w:tblCellMar>
        </w:tblPrEx>
        <w:trPr>
          <w:trHeight w:val="454" w:hRule="atLeast"/>
        </w:trPr>
        <w:tc>
          <w:tcPr>
            <w:tcW w:w="2093" w:type="dxa"/>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2020</w:t>
            </w:r>
          </w:p>
        </w:tc>
        <w:tc>
          <w:tcPr>
            <w:tcW w:w="1330"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jc w:val="center"/>
              <w:textAlignment w:val="auto"/>
              <w:rPr>
                <w:rFonts w:hint="eastAsia" w:ascii="仿宋" w:hAnsi="仿宋" w:eastAsia="仿宋" w:cs="仿宋"/>
                <w:color w:val="000000"/>
                <w:kern w:val="0"/>
                <w:sz w:val="32"/>
                <w:szCs w:val="32"/>
              </w:rPr>
            </w:pPr>
          </w:p>
        </w:tc>
        <w:tc>
          <w:tcPr>
            <w:tcW w:w="17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0</w:t>
            </w:r>
          </w:p>
        </w:tc>
        <w:tc>
          <w:tcPr>
            <w:tcW w:w="171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0</w:t>
            </w:r>
          </w:p>
        </w:tc>
        <w:tc>
          <w:tcPr>
            <w:tcW w:w="2022" w:type="dxa"/>
            <w:vMerge w:val="continue"/>
            <w:tcBorders>
              <w:left w:val="nil"/>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jc w:val="center"/>
              <w:textAlignment w:val="auto"/>
              <w:rPr>
                <w:rFonts w:hint="eastAsia" w:ascii="仿宋" w:hAnsi="仿宋" w:eastAsia="仿宋" w:cs="仿宋"/>
                <w:color w:val="000000"/>
                <w:kern w:val="0"/>
                <w:sz w:val="32"/>
                <w:szCs w:val="32"/>
              </w:rPr>
            </w:pPr>
          </w:p>
        </w:tc>
      </w:tr>
      <w:tr>
        <w:tblPrEx>
          <w:tblCellMar>
            <w:top w:w="0" w:type="dxa"/>
            <w:left w:w="108" w:type="dxa"/>
            <w:bottom w:w="0" w:type="dxa"/>
            <w:right w:w="108" w:type="dxa"/>
          </w:tblCellMar>
        </w:tblPrEx>
        <w:trPr>
          <w:trHeight w:val="454" w:hRule="atLeast"/>
        </w:trPr>
        <w:tc>
          <w:tcPr>
            <w:tcW w:w="2093" w:type="dxa"/>
            <w:tcBorders>
              <w:top w:val="nil"/>
              <w:left w:val="single" w:color="auto" w:sz="8" w:space="0"/>
              <w:bottom w:val="single" w:color="auto" w:sz="4" w:space="0"/>
              <w:right w:val="single" w:color="auto" w:sz="4" w:space="0"/>
            </w:tcBorders>
            <w:shd w:val="clear" w:color="auto" w:fill="DCE6F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十三五小计</w:t>
            </w:r>
          </w:p>
        </w:tc>
        <w:tc>
          <w:tcPr>
            <w:tcW w:w="1330" w:type="dxa"/>
            <w:tcBorders>
              <w:top w:val="nil"/>
              <w:left w:val="nil"/>
              <w:bottom w:val="single" w:color="auto" w:sz="4" w:space="0"/>
              <w:right w:val="single" w:color="auto" w:sz="4" w:space="0"/>
            </w:tcBorders>
            <w:shd w:val="clear" w:color="auto" w:fill="DCE6F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color w:val="000000"/>
                <w:kern w:val="0"/>
                <w:sz w:val="32"/>
                <w:szCs w:val="32"/>
                <w:lang w:val="en-US" w:eastAsia="zh-CN"/>
              </w:rPr>
            </w:pPr>
            <w:r>
              <w:rPr>
                <w:rFonts w:hint="eastAsia" w:ascii="仿宋" w:hAnsi="仿宋" w:eastAsia="仿宋" w:cs="仿宋"/>
                <w:b/>
                <w:color w:val="000000"/>
                <w:kern w:val="0"/>
                <w:sz w:val="32"/>
                <w:szCs w:val="32"/>
                <w:lang w:val="en-US" w:eastAsia="zh-CN"/>
              </w:rPr>
              <w:t>63</w:t>
            </w:r>
          </w:p>
        </w:tc>
        <w:tc>
          <w:tcPr>
            <w:tcW w:w="1780" w:type="dxa"/>
            <w:tcBorders>
              <w:top w:val="nil"/>
              <w:left w:val="nil"/>
              <w:bottom w:val="single" w:color="auto" w:sz="4" w:space="0"/>
              <w:right w:val="single" w:color="auto" w:sz="4" w:space="0"/>
            </w:tcBorders>
            <w:shd w:val="clear" w:color="auto" w:fill="DCE6F2"/>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643" w:firstLineChars="200"/>
              <w:jc w:val="both"/>
              <w:textAlignment w:val="auto"/>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0</w:t>
            </w:r>
          </w:p>
        </w:tc>
        <w:tc>
          <w:tcPr>
            <w:tcW w:w="1717" w:type="dxa"/>
            <w:tcBorders>
              <w:top w:val="nil"/>
              <w:left w:val="nil"/>
              <w:bottom w:val="single" w:color="auto" w:sz="4" w:space="0"/>
              <w:right w:val="single" w:color="auto" w:sz="4" w:space="0"/>
            </w:tcBorders>
            <w:shd w:val="clear" w:color="auto" w:fill="DCE6F2"/>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643" w:firstLineChars="200"/>
              <w:jc w:val="both"/>
              <w:textAlignment w:val="auto"/>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0</w:t>
            </w:r>
          </w:p>
        </w:tc>
        <w:tc>
          <w:tcPr>
            <w:tcW w:w="2022" w:type="dxa"/>
            <w:tcBorders>
              <w:top w:val="nil"/>
              <w:left w:val="nil"/>
              <w:bottom w:val="single" w:color="auto" w:sz="4" w:space="0"/>
              <w:right w:val="single" w:color="auto" w:sz="8" w:space="0"/>
            </w:tcBorders>
            <w:shd w:val="clear" w:color="auto" w:fill="DCE6F2"/>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color w:val="000000"/>
                <w:kern w:val="0"/>
                <w:sz w:val="32"/>
                <w:szCs w:val="32"/>
                <w:lang w:val="en-US" w:eastAsia="zh-CN"/>
              </w:rPr>
            </w:pPr>
            <w:r>
              <w:rPr>
                <w:rFonts w:hint="eastAsia" w:ascii="仿宋" w:hAnsi="仿宋" w:eastAsia="仿宋" w:cs="仿宋"/>
                <w:b/>
                <w:color w:val="000000"/>
                <w:kern w:val="0"/>
                <w:sz w:val="32"/>
                <w:szCs w:val="32"/>
                <w:lang w:val="en-US" w:eastAsia="zh-CN"/>
              </w:rPr>
              <w:t>59.4</w:t>
            </w:r>
          </w:p>
        </w:tc>
      </w:tr>
      <w:tr>
        <w:tblPrEx>
          <w:tblCellMar>
            <w:top w:w="0" w:type="dxa"/>
            <w:left w:w="108" w:type="dxa"/>
            <w:bottom w:w="0" w:type="dxa"/>
            <w:right w:w="108" w:type="dxa"/>
          </w:tblCellMar>
        </w:tblPrEx>
        <w:trPr>
          <w:trHeight w:val="454" w:hRule="atLeast"/>
        </w:trPr>
        <w:tc>
          <w:tcPr>
            <w:tcW w:w="2093" w:type="dxa"/>
            <w:tcBorders>
              <w:top w:val="nil"/>
              <w:left w:val="single" w:color="auto" w:sz="8"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同比前五年</w:t>
            </w:r>
          </w:p>
        </w:tc>
        <w:tc>
          <w:tcPr>
            <w:tcW w:w="1330" w:type="dxa"/>
            <w:tcBorders>
              <w:top w:val="nil"/>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w:t>
            </w:r>
            <w:r>
              <w:rPr>
                <w:rFonts w:hint="eastAsia" w:ascii="仿宋" w:hAnsi="仿宋" w:eastAsia="仿宋" w:cs="仿宋"/>
                <w:b/>
                <w:color w:val="000000"/>
                <w:kern w:val="0"/>
                <w:sz w:val="32"/>
                <w:szCs w:val="32"/>
                <w:lang w:val="en-US" w:eastAsia="zh-CN"/>
              </w:rPr>
              <w:t>0.39</w:t>
            </w:r>
            <w:r>
              <w:rPr>
                <w:rFonts w:hint="eastAsia" w:ascii="仿宋" w:hAnsi="仿宋" w:eastAsia="仿宋" w:cs="仿宋"/>
                <w:b/>
                <w:color w:val="000000"/>
                <w:kern w:val="0"/>
                <w:sz w:val="32"/>
                <w:szCs w:val="32"/>
              </w:rPr>
              <w:t>%</w:t>
            </w:r>
          </w:p>
        </w:tc>
        <w:tc>
          <w:tcPr>
            <w:tcW w:w="1780" w:type="dxa"/>
            <w:tcBorders>
              <w:top w:val="nil"/>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lang w:val="en-US" w:eastAsia="zh-CN"/>
              </w:rPr>
              <w:t>+</w:t>
            </w:r>
            <w:r>
              <w:rPr>
                <w:rFonts w:hint="eastAsia" w:ascii="仿宋" w:hAnsi="仿宋" w:eastAsia="仿宋" w:cs="仿宋"/>
                <w:b/>
                <w:color w:val="000000"/>
                <w:kern w:val="0"/>
                <w:sz w:val="32"/>
                <w:szCs w:val="32"/>
              </w:rPr>
              <w:t>100%</w:t>
            </w:r>
          </w:p>
        </w:tc>
        <w:tc>
          <w:tcPr>
            <w:tcW w:w="1717" w:type="dxa"/>
            <w:tcBorders>
              <w:top w:val="nil"/>
              <w:left w:val="nil"/>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-100%</w:t>
            </w:r>
          </w:p>
        </w:tc>
        <w:tc>
          <w:tcPr>
            <w:tcW w:w="2022" w:type="dxa"/>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w:t>
            </w:r>
            <w:r>
              <w:rPr>
                <w:rFonts w:hint="eastAsia" w:ascii="仿宋" w:hAnsi="仿宋" w:eastAsia="仿宋" w:cs="仿宋"/>
                <w:b/>
                <w:color w:val="000000"/>
                <w:kern w:val="0"/>
                <w:sz w:val="32"/>
                <w:szCs w:val="32"/>
                <w:lang w:val="en-US" w:eastAsia="zh-CN"/>
              </w:rPr>
              <w:t>64.70</w:t>
            </w:r>
            <w:r>
              <w:rPr>
                <w:rFonts w:hint="eastAsia" w:ascii="仿宋" w:hAnsi="仿宋" w:eastAsia="仿宋" w:cs="仿宋"/>
                <w:b/>
                <w:color w:val="000000"/>
                <w:kern w:val="0"/>
                <w:sz w:val="32"/>
                <w:szCs w:val="32"/>
              </w:rPr>
              <w:t>%</w:t>
            </w:r>
          </w:p>
        </w:tc>
      </w:tr>
    </w:tbl>
    <w:p>
      <w:pPr>
        <w:keepNext w:val="0"/>
        <w:keepLines w:val="0"/>
        <w:pageBreakBefore w:val="0"/>
        <w:kinsoku/>
        <w:wordWrap/>
        <w:overflowPunct/>
        <w:topLinePunct w:val="0"/>
        <w:bidi w:val="0"/>
        <w:adjustRightInd w:val="0"/>
        <w:snapToGrid w:val="0"/>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bCs/>
          <w:sz w:val="32"/>
          <w:szCs w:val="32"/>
        </w:rPr>
        <w:t>2.</w:t>
      </w:r>
      <w:r>
        <w:rPr>
          <w:rFonts w:hint="eastAsia" w:ascii="仿宋" w:hAnsi="仿宋" w:eastAsia="仿宋" w:cs="仿宋"/>
          <w:b/>
          <w:bCs/>
          <w:sz w:val="32"/>
          <w:szCs w:val="32"/>
        </w:rPr>
        <w:t>消防安全责任制落实成效显著。</w:t>
      </w:r>
      <w:r>
        <w:rPr>
          <w:rFonts w:hint="eastAsia" w:ascii="仿宋" w:hAnsi="仿宋" w:eastAsia="仿宋" w:cs="仿宋"/>
          <w:sz w:val="32"/>
          <w:szCs w:val="32"/>
        </w:rPr>
        <w:t>保德县委、县政府将消防工作列入各级党委政府目标责任考核、社会治安综合治理和领导干部政绩考评的重要内容，领导力量进一步加强。部门信息沟通、联合执法和宣传教育机制逐步建立，检查考评得到加强，部门监管职能进一步发挥。行业体系社会单位消防安全标准化管理、重点单位户籍化管理等制度不断完善，社会单位消防安全自我管理、自我检查、自我整改的能力有了较大提高。</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rPr>
          <w:rFonts w:hint="eastAsia" w:ascii="仿宋" w:hAnsi="仿宋" w:eastAsia="仿宋" w:cs="仿宋"/>
          <w:color w:val="FF0000"/>
          <w:sz w:val="32"/>
          <w:szCs w:val="32"/>
        </w:rPr>
      </w:pPr>
      <w:r>
        <w:rPr>
          <w:rFonts w:hint="eastAsia" w:ascii="仿宋" w:hAnsi="仿宋" w:eastAsia="仿宋" w:cs="仿宋"/>
          <w:bCs/>
          <w:color w:val="000000"/>
          <w:sz w:val="32"/>
          <w:szCs w:val="32"/>
        </w:rPr>
        <w:t>3.</w:t>
      </w:r>
      <w:r>
        <w:rPr>
          <w:rFonts w:hint="eastAsia" w:ascii="仿宋" w:hAnsi="仿宋" w:eastAsia="仿宋" w:cs="仿宋"/>
          <w:b/>
          <w:bCs/>
          <w:color w:val="000000"/>
          <w:sz w:val="32"/>
          <w:szCs w:val="32"/>
        </w:rPr>
        <w:t>公共消防基础设施建设稳步推进。</w:t>
      </w:r>
      <w:r>
        <w:rPr>
          <w:rFonts w:hint="eastAsia" w:ascii="仿宋" w:hAnsi="仿宋" w:eastAsia="仿宋" w:cs="仿宋"/>
          <w:bCs/>
          <w:color w:val="000000"/>
          <w:sz w:val="32"/>
          <w:szCs w:val="32"/>
        </w:rPr>
        <w:t>全县全部</w:t>
      </w:r>
      <w:r>
        <w:rPr>
          <w:rFonts w:hint="eastAsia" w:ascii="仿宋" w:hAnsi="仿宋" w:eastAsia="仿宋" w:cs="仿宋"/>
          <w:color w:val="000000"/>
          <w:sz w:val="32"/>
          <w:szCs w:val="32"/>
        </w:rPr>
        <w:t>完成消防规划编制，涉及</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个建制镇，消防规划编制完成率达100%。</w:t>
      </w:r>
      <w:r>
        <w:rPr>
          <w:rFonts w:hint="eastAsia" w:ascii="仿宋" w:hAnsi="仿宋" w:eastAsia="仿宋" w:cs="仿宋"/>
          <w:color w:val="auto"/>
          <w:sz w:val="32"/>
          <w:szCs w:val="32"/>
        </w:rPr>
        <w:t>累计投入公共消防基础设施建设经费</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万元。</w:t>
      </w:r>
      <w:r>
        <w:rPr>
          <w:rFonts w:hint="eastAsia" w:ascii="仿宋" w:hAnsi="仿宋" w:eastAsia="仿宋" w:cs="仿宋"/>
          <w:color w:val="000000"/>
          <w:sz w:val="32"/>
          <w:szCs w:val="32"/>
        </w:rPr>
        <w:t>全县，新增微型消防站</w:t>
      </w:r>
      <w:r>
        <w:rPr>
          <w:rFonts w:hint="eastAsia" w:ascii="仿宋" w:hAnsi="仿宋" w:eastAsia="仿宋" w:cs="仿宋"/>
          <w:color w:val="000000"/>
          <w:sz w:val="32"/>
          <w:szCs w:val="32"/>
          <w:lang w:val="en-US" w:eastAsia="zh-CN"/>
        </w:rPr>
        <w:t>71</w:t>
      </w:r>
      <w:r>
        <w:rPr>
          <w:rFonts w:hint="eastAsia" w:ascii="仿宋" w:hAnsi="仿宋" w:eastAsia="仿宋" w:cs="仿宋"/>
          <w:color w:val="000000"/>
          <w:sz w:val="32"/>
          <w:szCs w:val="32"/>
        </w:rPr>
        <w:t>个，新建市政消火栓</w:t>
      </w:r>
      <w:r>
        <w:rPr>
          <w:rFonts w:hint="eastAsia" w:ascii="仿宋" w:hAnsi="仿宋" w:eastAsia="仿宋" w:cs="仿宋"/>
          <w:color w:val="000000"/>
          <w:sz w:val="32"/>
          <w:szCs w:val="32"/>
          <w:lang w:val="en-US" w:eastAsia="zh-CN"/>
        </w:rPr>
        <w:t>22</w:t>
      </w:r>
      <w:r>
        <w:rPr>
          <w:rFonts w:hint="eastAsia" w:ascii="仿宋" w:hAnsi="仿宋" w:eastAsia="仿宋" w:cs="仿宋"/>
          <w:color w:val="000000"/>
          <w:sz w:val="32"/>
          <w:szCs w:val="32"/>
        </w:rPr>
        <w:t>个</w:t>
      </w:r>
      <w:r>
        <w:rPr>
          <w:rFonts w:hint="eastAsia" w:ascii="仿宋" w:hAnsi="仿宋" w:eastAsia="仿宋" w:cs="仿宋"/>
          <w:color w:val="000000"/>
          <w:sz w:val="32"/>
          <w:szCs w:val="32"/>
          <w:lang w:eastAsia="zh-CN"/>
        </w:rPr>
        <w:t>，消防水鹤</w:t>
      </w:r>
      <w:r>
        <w:rPr>
          <w:rFonts w:hint="eastAsia" w:ascii="仿宋" w:hAnsi="仿宋" w:eastAsia="仿宋" w:cs="仿宋"/>
          <w:color w:val="000000"/>
          <w:sz w:val="32"/>
          <w:szCs w:val="32"/>
          <w:lang w:val="en-US" w:eastAsia="zh-CN"/>
        </w:rPr>
        <w:t>1个</w:t>
      </w:r>
      <w:r>
        <w:rPr>
          <w:rFonts w:hint="eastAsia" w:ascii="仿宋" w:hAnsi="仿宋" w:eastAsia="仿宋" w:cs="仿宋"/>
          <w:color w:val="000000"/>
          <w:sz w:val="32"/>
          <w:szCs w:val="32"/>
        </w:rPr>
        <w:t>。</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bCs/>
          <w:color w:val="auto"/>
          <w:sz w:val="32"/>
          <w:szCs w:val="32"/>
        </w:rPr>
        <w:t>4.</w:t>
      </w:r>
      <w:r>
        <w:rPr>
          <w:rFonts w:hint="eastAsia" w:ascii="仿宋" w:hAnsi="仿宋" w:eastAsia="仿宋" w:cs="仿宋"/>
          <w:b/>
          <w:bCs/>
          <w:color w:val="auto"/>
          <w:sz w:val="32"/>
          <w:szCs w:val="32"/>
        </w:rPr>
        <w:t>消防装备配备水平不断提高。</w:t>
      </w:r>
      <w:r>
        <w:rPr>
          <w:rFonts w:hint="eastAsia" w:ascii="仿宋" w:hAnsi="仿宋" w:eastAsia="仿宋" w:cs="仿宋"/>
          <w:color w:val="auto"/>
          <w:sz w:val="32"/>
          <w:szCs w:val="32"/>
        </w:rPr>
        <w:t>我县新购消防车辆</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辆、消防救援器材装备</w:t>
      </w:r>
      <w:r>
        <w:rPr>
          <w:rFonts w:hint="eastAsia" w:ascii="仿宋" w:hAnsi="仿宋" w:eastAsia="仿宋" w:cs="仿宋"/>
          <w:color w:val="auto"/>
          <w:sz w:val="32"/>
          <w:szCs w:val="32"/>
          <w:lang w:val="en-US" w:eastAsia="zh-CN"/>
        </w:rPr>
        <w:t>1121</w:t>
      </w:r>
      <w:r>
        <w:rPr>
          <w:rFonts w:hint="eastAsia" w:ascii="仿宋" w:hAnsi="仿宋" w:eastAsia="仿宋" w:cs="仿宋"/>
          <w:color w:val="auto"/>
          <w:sz w:val="32"/>
          <w:szCs w:val="32"/>
        </w:rPr>
        <w:t>件（套）。</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bCs/>
          <w:color w:val="auto"/>
          <w:sz w:val="32"/>
          <w:szCs w:val="32"/>
        </w:rPr>
        <w:t>5.</w:t>
      </w:r>
      <w:r>
        <w:rPr>
          <w:rFonts w:hint="eastAsia" w:ascii="仿宋" w:hAnsi="仿宋" w:eastAsia="仿宋" w:cs="仿宋"/>
          <w:b/>
          <w:bCs/>
          <w:color w:val="auto"/>
          <w:sz w:val="32"/>
          <w:szCs w:val="32"/>
        </w:rPr>
        <w:t>消防救援能力明显提升。</w:t>
      </w:r>
      <w:r>
        <w:rPr>
          <w:rFonts w:hint="eastAsia" w:ascii="仿宋" w:hAnsi="仿宋" w:eastAsia="仿宋" w:cs="仿宋"/>
          <w:color w:val="auto"/>
          <w:sz w:val="32"/>
          <w:szCs w:val="32"/>
        </w:rPr>
        <w:t xml:space="preserve"> </w:t>
      </w:r>
      <w:r>
        <w:rPr>
          <w:rFonts w:hint="eastAsia" w:ascii="仿宋" w:hAnsi="仿宋" w:eastAsia="仿宋" w:cs="仿宋"/>
          <w:sz w:val="32"/>
          <w:szCs w:val="32"/>
        </w:rPr>
        <w:t>“十三五”时期，共接报消防救援警情</w:t>
      </w:r>
      <w:r>
        <w:rPr>
          <w:rFonts w:hint="eastAsia" w:ascii="仿宋" w:hAnsi="仿宋" w:eastAsia="仿宋" w:cs="仿宋"/>
          <w:sz w:val="32"/>
          <w:szCs w:val="32"/>
          <w:lang w:val="en-US" w:eastAsia="zh-CN"/>
        </w:rPr>
        <w:t>581</w:t>
      </w:r>
      <w:r>
        <w:rPr>
          <w:rFonts w:hint="eastAsia" w:ascii="仿宋" w:hAnsi="仿宋" w:eastAsia="仿宋" w:cs="仿宋"/>
          <w:sz w:val="32"/>
          <w:szCs w:val="32"/>
        </w:rPr>
        <w:t>起、出动警力</w:t>
      </w:r>
      <w:r>
        <w:rPr>
          <w:rFonts w:hint="eastAsia" w:ascii="仿宋" w:hAnsi="仿宋" w:eastAsia="仿宋" w:cs="仿宋"/>
          <w:sz w:val="32"/>
          <w:szCs w:val="32"/>
          <w:lang w:val="en-US" w:eastAsia="zh-CN"/>
        </w:rPr>
        <w:t>5391</w:t>
      </w:r>
      <w:r>
        <w:rPr>
          <w:rFonts w:hint="eastAsia" w:ascii="仿宋" w:hAnsi="仿宋" w:eastAsia="仿宋" w:cs="仿宋"/>
          <w:sz w:val="32"/>
          <w:szCs w:val="32"/>
        </w:rPr>
        <w:t>人次，</w:t>
      </w:r>
      <w:r>
        <w:rPr>
          <w:rFonts w:hint="eastAsia" w:ascii="仿宋" w:hAnsi="仿宋" w:eastAsia="仿宋" w:cs="仿宋"/>
          <w:sz w:val="32"/>
          <w:szCs w:val="32"/>
          <w:lang w:eastAsia="zh-CN"/>
        </w:rPr>
        <w:t>出动车辆</w:t>
      </w:r>
      <w:r>
        <w:rPr>
          <w:rFonts w:hint="eastAsia" w:ascii="仿宋" w:hAnsi="仿宋" w:eastAsia="仿宋" w:cs="仿宋"/>
          <w:sz w:val="32"/>
          <w:szCs w:val="32"/>
          <w:lang w:val="en-US" w:eastAsia="zh-CN"/>
        </w:rPr>
        <w:t>1078</w:t>
      </w:r>
      <w:r>
        <w:rPr>
          <w:rFonts w:hint="eastAsia" w:ascii="仿宋" w:hAnsi="仿宋" w:eastAsia="仿宋" w:cs="仿宋"/>
          <w:sz w:val="32"/>
          <w:szCs w:val="32"/>
          <w:lang w:eastAsia="zh-CN"/>
        </w:rPr>
        <w:t>辆次，</w:t>
      </w:r>
      <w:r>
        <w:rPr>
          <w:rFonts w:hint="eastAsia" w:ascii="仿宋" w:hAnsi="仿宋" w:eastAsia="仿宋" w:cs="仿宋"/>
          <w:sz w:val="32"/>
          <w:szCs w:val="32"/>
        </w:rPr>
        <w:t>抢救、疏散被困人员</w:t>
      </w:r>
      <w:r>
        <w:rPr>
          <w:rFonts w:hint="eastAsia" w:ascii="仿宋" w:hAnsi="仿宋" w:eastAsia="仿宋" w:cs="仿宋"/>
          <w:sz w:val="32"/>
          <w:szCs w:val="32"/>
          <w:lang w:val="en-US" w:eastAsia="zh-CN"/>
        </w:rPr>
        <w:t>476</w:t>
      </w:r>
      <w:r>
        <w:rPr>
          <w:rFonts w:hint="eastAsia" w:ascii="仿宋" w:hAnsi="仿宋" w:eastAsia="仿宋" w:cs="仿宋"/>
          <w:sz w:val="32"/>
          <w:szCs w:val="32"/>
        </w:rPr>
        <w:t>人，挽回财产损失</w:t>
      </w:r>
      <w:r>
        <w:rPr>
          <w:rFonts w:hint="eastAsia" w:ascii="仿宋" w:hAnsi="仿宋" w:eastAsia="仿宋" w:cs="仿宋"/>
          <w:sz w:val="32"/>
          <w:szCs w:val="32"/>
          <w:lang w:val="en-US" w:eastAsia="zh-CN"/>
        </w:rPr>
        <w:t>918.65</w:t>
      </w:r>
      <w:r>
        <w:rPr>
          <w:rFonts w:hint="eastAsia" w:ascii="仿宋" w:hAnsi="仿宋" w:eastAsia="仿宋" w:cs="仿宋"/>
          <w:sz w:val="32"/>
          <w:szCs w:val="32"/>
        </w:rPr>
        <w:t>万元。</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bCs/>
          <w:sz w:val="32"/>
          <w:szCs w:val="32"/>
        </w:rPr>
        <w:t>6.</w:t>
      </w:r>
      <w:r>
        <w:rPr>
          <w:rFonts w:hint="eastAsia" w:ascii="仿宋" w:hAnsi="仿宋" w:eastAsia="仿宋" w:cs="仿宋"/>
          <w:b/>
          <w:bCs/>
          <w:sz w:val="32"/>
          <w:szCs w:val="32"/>
        </w:rPr>
        <w:t>消防宣传教育培训成效明显。</w:t>
      </w:r>
      <w:r>
        <w:rPr>
          <w:rFonts w:hint="eastAsia" w:ascii="仿宋" w:hAnsi="仿宋" w:eastAsia="仿宋" w:cs="仿宋"/>
          <w:sz w:val="32"/>
          <w:szCs w:val="32"/>
        </w:rPr>
        <w:t>全县依托山西消防、忻州消防科普教育专栏，累计培训目标人群1万余人，全民消防素质进一步提升。</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rPr>
          <w:rFonts w:hint="eastAsia" w:ascii="仿宋" w:hAnsi="仿宋" w:eastAsia="仿宋" w:cs="仿宋"/>
          <w:bCs/>
          <w:sz w:val="32"/>
          <w:szCs w:val="32"/>
        </w:rPr>
      </w:pPr>
      <w:r>
        <w:rPr>
          <w:rFonts w:hint="eastAsia" w:ascii="仿宋" w:hAnsi="仿宋" w:eastAsia="仿宋" w:cs="仿宋"/>
          <w:bCs/>
          <w:sz w:val="32"/>
          <w:szCs w:val="32"/>
        </w:rPr>
        <w:t>表2：消防事业发展“十三五”指标完成情况</w:t>
      </w:r>
    </w:p>
    <w:tbl>
      <w:tblPr>
        <w:tblStyle w:val="12"/>
        <w:tblW w:w="9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944"/>
        <w:gridCol w:w="1542"/>
        <w:gridCol w:w="1634"/>
        <w:gridCol w:w="1676"/>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序号</w:t>
            </w:r>
          </w:p>
        </w:tc>
        <w:tc>
          <w:tcPr>
            <w:tcW w:w="1944"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560" w:firstLineChars="200"/>
              <w:jc w:val="center"/>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指标</w:t>
            </w:r>
          </w:p>
        </w:tc>
        <w:tc>
          <w:tcPr>
            <w:tcW w:w="154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单位</w:t>
            </w:r>
          </w:p>
        </w:tc>
        <w:tc>
          <w:tcPr>
            <w:tcW w:w="163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十三五目标</w:t>
            </w:r>
          </w:p>
        </w:tc>
        <w:tc>
          <w:tcPr>
            <w:tcW w:w="16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十三五情况</w:t>
            </w:r>
          </w:p>
        </w:tc>
        <w:tc>
          <w:tcPr>
            <w:tcW w:w="1397"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48"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194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年度火灾十万人口火灾平均死亡率</w:t>
            </w:r>
          </w:p>
        </w:tc>
        <w:tc>
          <w:tcPr>
            <w:tcW w:w="154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死亡人数/十万人</w:t>
            </w:r>
          </w:p>
        </w:tc>
        <w:tc>
          <w:tcPr>
            <w:tcW w:w="1634"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≤0.17</w:t>
            </w:r>
          </w:p>
        </w:tc>
        <w:tc>
          <w:tcPr>
            <w:tcW w:w="1676"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0.44</w:t>
            </w:r>
          </w:p>
        </w:tc>
        <w:tc>
          <w:tcPr>
            <w:tcW w:w="1397"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未达标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48"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194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消防专项规划修编工作完成率</w:t>
            </w:r>
          </w:p>
        </w:tc>
        <w:tc>
          <w:tcPr>
            <w:tcW w:w="1542"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p>
        </w:tc>
        <w:tc>
          <w:tcPr>
            <w:tcW w:w="1634"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p>
        </w:tc>
        <w:tc>
          <w:tcPr>
            <w:tcW w:w="1676"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100</w:t>
            </w:r>
          </w:p>
        </w:tc>
        <w:tc>
          <w:tcPr>
            <w:tcW w:w="1397"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194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增建市政消火栓建有率</w:t>
            </w:r>
          </w:p>
        </w:tc>
        <w:tc>
          <w:tcPr>
            <w:tcW w:w="1542"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p>
        </w:tc>
        <w:tc>
          <w:tcPr>
            <w:tcW w:w="1634"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100</w:t>
            </w:r>
          </w:p>
        </w:tc>
        <w:tc>
          <w:tcPr>
            <w:tcW w:w="1676"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58.68</w:t>
            </w:r>
          </w:p>
        </w:tc>
        <w:tc>
          <w:tcPr>
            <w:tcW w:w="1397"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未达标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4</w:t>
            </w:r>
          </w:p>
        </w:tc>
        <w:tc>
          <w:tcPr>
            <w:tcW w:w="194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新建、改建各类消防站数量</w:t>
            </w:r>
          </w:p>
        </w:tc>
        <w:tc>
          <w:tcPr>
            <w:tcW w:w="1542"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w:t>
            </w:r>
          </w:p>
        </w:tc>
        <w:tc>
          <w:tcPr>
            <w:tcW w:w="1634"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w:t>
            </w:r>
          </w:p>
        </w:tc>
        <w:tc>
          <w:tcPr>
            <w:tcW w:w="1676"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w:t>
            </w:r>
          </w:p>
        </w:tc>
        <w:tc>
          <w:tcPr>
            <w:tcW w:w="1397"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94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新增消防执勤车</w:t>
            </w:r>
          </w:p>
        </w:tc>
        <w:tc>
          <w:tcPr>
            <w:tcW w:w="1542"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辆</w:t>
            </w:r>
          </w:p>
        </w:tc>
        <w:tc>
          <w:tcPr>
            <w:tcW w:w="1634"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eastAsia="zh-CN"/>
              </w:rPr>
              <w:t>—</w:t>
            </w:r>
          </w:p>
        </w:tc>
        <w:tc>
          <w:tcPr>
            <w:tcW w:w="1676"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5</w:t>
            </w:r>
          </w:p>
        </w:tc>
        <w:tc>
          <w:tcPr>
            <w:tcW w:w="1397"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6</w:t>
            </w:r>
          </w:p>
        </w:tc>
        <w:tc>
          <w:tcPr>
            <w:tcW w:w="194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抢险救援器材、个人防护装备、灭火器材装备和灭火救援力量编成装备配备率</w:t>
            </w:r>
          </w:p>
        </w:tc>
        <w:tc>
          <w:tcPr>
            <w:tcW w:w="1542"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w:t>
            </w:r>
          </w:p>
        </w:tc>
        <w:tc>
          <w:tcPr>
            <w:tcW w:w="1634"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100</w:t>
            </w:r>
          </w:p>
        </w:tc>
        <w:tc>
          <w:tcPr>
            <w:tcW w:w="1676"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100</w:t>
            </w:r>
          </w:p>
        </w:tc>
        <w:tc>
          <w:tcPr>
            <w:tcW w:w="1397"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7</w:t>
            </w:r>
          </w:p>
        </w:tc>
        <w:tc>
          <w:tcPr>
            <w:tcW w:w="194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建制镇专职队伍建设达标率</w:t>
            </w:r>
          </w:p>
        </w:tc>
        <w:tc>
          <w:tcPr>
            <w:tcW w:w="1542"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w:t>
            </w:r>
          </w:p>
        </w:tc>
        <w:tc>
          <w:tcPr>
            <w:tcW w:w="1634"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100</w:t>
            </w:r>
          </w:p>
        </w:tc>
        <w:tc>
          <w:tcPr>
            <w:tcW w:w="1676"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0</w:t>
            </w:r>
          </w:p>
        </w:tc>
        <w:tc>
          <w:tcPr>
            <w:tcW w:w="1397"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未达标</w:t>
            </w:r>
          </w:p>
        </w:tc>
      </w:tr>
    </w:tbl>
    <w:p>
      <w:pPr>
        <w:keepNext w:val="0"/>
        <w:keepLines w:val="0"/>
        <w:pageBreakBefore w:val="0"/>
        <w:kinsoku/>
        <w:wordWrap/>
        <w:overflowPunct/>
        <w:topLinePunct w:val="0"/>
        <w:bidi w:val="0"/>
        <w:adjustRightInd w:val="0"/>
        <w:snapToGrid w:val="0"/>
        <w:spacing w:line="360" w:lineRule="auto"/>
        <w:ind w:firstLine="640" w:firstLineChars="200"/>
        <w:jc w:val="both"/>
        <w:textAlignment w:val="auto"/>
        <w:outlineLvl w:val="1"/>
        <w:rPr>
          <w:rFonts w:hint="eastAsia" w:ascii="仿宋" w:hAnsi="仿宋" w:eastAsia="仿宋" w:cs="仿宋"/>
          <w:sz w:val="32"/>
          <w:szCs w:val="32"/>
        </w:rPr>
      </w:pPr>
      <w:bookmarkStart w:id="3" w:name="_Toc1728965189"/>
      <w:r>
        <w:rPr>
          <w:rFonts w:hint="eastAsia" w:ascii="仿宋" w:hAnsi="仿宋" w:eastAsia="仿宋" w:cs="仿宋"/>
          <w:sz w:val="32"/>
          <w:szCs w:val="32"/>
        </w:rPr>
        <w:t>（二）主要问题</w:t>
      </w:r>
      <w:bookmarkEnd w:id="3"/>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十三五”期间，我县消防工作和队伍建设在县委、县政府的高度重视和大力支持下，经费投入、设备更新、基础建设、火灾防控、救援能力等方面取得了显著成绩，但随着经济社会高质量发展要求的不断提升和“</w:t>
      </w:r>
      <w:r>
        <w:rPr>
          <w:rFonts w:hint="eastAsia" w:ascii="仿宋" w:hAnsi="仿宋" w:eastAsia="仿宋" w:cs="仿宋"/>
          <w:b w:val="0"/>
          <w:bCs w:val="0"/>
          <w:color w:val="auto"/>
          <w:sz w:val="32"/>
          <w:szCs w:val="32"/>
        </w:rPr>
        <w:t>平安</w:t>
      </w:r>
      <w:r>
        <w:rPr>
          <w:rFonts w:hint="eastAsia" w:ascii="仿宋" w:hAnsi="仿宋" w:eastAsia="仿宋" w:cs="仿宋"/>
          <w:b w:val="0"/>
          <w:bCs w:val="0"/>
          <w:color w:val="auto"/>
          <w:sz w:val="32"/>
          <w:szCs w:val="32"/>
          <w:lang w:eastAsia="zh-CN"/>
        </w:rPr>
        <w:t>保德</w:t>
      </w:r>
      <w:r>
        <w:rPr>
          <w:rFonts w:hint="eastAsia" w:ascii="仿宋" w:hAnsi="仿宋" w:eastAsia="仿宋" w:cs="仿宋"/>
          <w:sz w:val="32"/>
          <w:szCs w:val="32"/>
        </w:rPr>
        <w:t>”建设的不断推进，影响消防安全的因素仍然存在，消防工作滞后于经济社会发展的问题仍然严峻，社会抗御火灾的整体能力仍然不足。</w:t>
      </w:r>
      <w:r>
        <w:rPr>
          <w:rFonts w:hint="eastAsia" w:ascii="仿宋" w:hAnsi="仿宋" w:eastAsia="仿宋" w:cs="仿宋"/>
          <w:b/>
          <w:bCs/>
          <w:sz w:val="32"/>
          <w:szCs w:val="32"/>
        </w:rPr>
        <w:t>一是公共消防基础设施建设滞后于城镇建设发展速度。</w:t>
      </w:r>
      <w:r>
        <w:rPr>
          <w:rFonts w:hint="eastAsia" w:ascii="仿宋" w:hAnsi="仿宋" w:eastAsia="仿宋" w:cs="仿宋"/>
          <w:sz w:val="32"/>
          <w:szCs w:val="32"/>
        </w:rPr>
        <w:t>保德县正处于经济社会快速发展阶段，影响消防安全工作的风险因素明显增多，消防工作也将出现许多新情况和新问题，应对和防范措施滞后的现象将逐步凸显。受资金、审批、用地、建设等方面制约，乡镇消防供水管网覆盖面有限，市政消火栓覆盖率和完好率不高，天然水源消防取水设施较为缺乏。此外，我县政府专职队伍人员、营房、装备达标率低，规划的营房和车辆未真正落实。</w:t>
      </w:r>
      <w:r>
        <w:rPr>
          <w:rFonts w:hint="eastAsia" w:ascii="仿宋" w:hAnsi="仿宋" w:eastAsia="仿宋" w:cs="仿宋"/>
          <w:b/>
          <w:bCs/>
          <w:sz w:val="32"/>
          <w:szCs w:val="32"/>
        </w:rPr>
        <w:t>二是消防安全形势与人民群众的安全需求还有差距。</w:t>
      </w:r>
      <w:r>
        <w:rPr>
          <w:rFonts w:hint="eastAsia" w:ascii="仿宋" w:hAnsi="仿宋" w:eastAsia="仿宋" w:cs="仿宋"/>
          <w:sz w:val="32"/>
          <w:szCs w:val="32"/>
        </w:rPr>
        <w:t>全县“小火亡人”问题仍较为突出，人员密集场所、公众聚集场所依然埋藏大量隐患，高层建筑、老旧小区、居住出租房、小微企业、电动自行车等重点领域治理难以真正托底，一定程度存在问题隐患反复、日常管理不到位等现象，与人民群众日益提高的安全需求还有较大差距。</w:t>
      </w:r>
      <w:r>
        <w:rPr>
          <w:rFonts w:hint="eastAsia" w:ascii="仿宋" w:hAnsi="仿宋" w:eastAsia="仿宋" w:cs="仿宋"/>
          <w:b/>
          <w:bCs/>
          <w:sz w:val="32"/>
          <w:szCs w:val="32"/>
        </w:rPr>
        <w:t>三是智慧消防信息化平台尚未形成。</w:t>
      </w:r>
      <w:r>
        <w:rPr>
          <w:rFonts w:hint="eastAsia" w:ascii="仿宋" w:hAnsi="仿宋" w:eastAsia="仿宋" w:cs="仿宋"/>
          <w:sz w:val="32"/>
          <w:szCs w:val="32"/>
        </w:rPr>
        <w:t>消防信息化平台尚未建设，导致当前的数据缺乏有效整合，对灾情无法实时分析，削弱了消防救援队伍的战斗力。</w:t>
      </w:r>
      <w:r>
        <w:rPr>
          <w:rFonts w:hint="eastAsia" w:ascii="仿宋" w:hAnsi="仿宋" w:eastAsia="仿宋" w:cs="仿宋"/>
          <w:b/>
          <w:bCs/>
          <w:sz w:val="32"/>
          <w:szCs w:val="32"/>
        </w:rPr>
        <w:t>四是消防救援队伍装备和力量建设亟待加强。</w:t>
      </w:r>
      <w:r>
        <w:rPr>
          <w:rFonts w:hint="eastAsia" w:ascii="仿宋" w:hAnsi="仿宋" w:eastAsia="仿宋" w:cs="仿宋"/>
          <w:sz w:val="32"/>
          <w:szCs w:val="32"/>
        </w:rPr>
        <w:t>全县车辆装备建设仍有欠缺，现有装备虽有提升但处置重特大火灾的能力还不强，尤其缺乏扑救高层建筑、隧道和石油化工等火灾的装备。随着国家综合性消防救援队伍职能的拓展，水域救援、山岳救助、地震等救援装备水平亟待提升。尤其是消防力量总体增长缓慢，难以适应日益繁重的消防安全保卫和社会抢险救援任务的需要。</w:t>
      </w:r>
      <w:r>
        <w:rPr>
          <w:rFonts w:hint="eastAsia" w:ascii="仿宋" w:hAnsi="仿宋" w:eastAsia="仿宋" w:cs="仿宋"/>
          <w:b/>
          <w:bCs/>
          <w:sz w:val="32"/>
          <w:szCs w:val="32"/>
        </w:rPr>
        <w:t>五是公众消防安全意识亟待提高。</w:t>
      </w:r>
      <w:r>
        <w:rPr>
          <w:rFonts w:hint="eastAsia" w:ascii="仿宋" w:hAnsi="仿宋" w:eastAsia="仿宋" w:cs="仿宋"/>
          <w:sz w:val="32"/>
          <w:szCs w:val="32"/>
        </w:rPr>
        <w:t>宣传教育培训体系不完善，理念、机制、模式、方法跟不上全媒体时代转型要求，社会化消防宣传保障不到位，消防宣传体验场地设施缺乏。公民学习消防安全知识、参与消防培训演练的热情有待提高、意识有待加强、技能有待提升等，自防自救能力偏低，公众消防安全知晓率较低。</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outlineLvl w:val="0"/>
        <w:rPr>
          <w:rFonts w:hint="eastAsia" w:ascii="黑体" w:hAnsi="黑体" w:eastAsia="黑体" w:cs="黑体"/>
          <w:sz w:val="32"/>
          <w:szCs w:val="32"/>
        </w:rPr>
      </w:pPr>
      <w:bookmarkStart w:id="4" w:name="_Toc1486086646"/>
      <w:r>
        <w:rPr>
          <w:rFonts w:hint="eastAsia" w:ascii="黑体" w:hAnsi="黑体" w:eastAsia="黑体" w:cs="黑体"/>
          <w:sz w:val="32"/>
          <w:szCs w:val="32"/>
        </w:rPr>
        <w:t>二、发展背景</w:t>
      </w:r>
      <w:bookmarkEnd w:id="4"/>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十四五”时期是我国全面建设社会主义现代化新征程的重要开端，也是保德发展的重要战略机遇期。消防安全是国家公共安全的重要组成部分，消防事业的发展水平是国民经济和社会发达程度的重要标志，为确保实现保德县“十四五”经济社会发展各项目标，必须准确把握消防安全新形势，积极应对消防工作新挑战，善于抢抓机遇，勇于先试先行，敢于改革创新，切实解决制约消防事业发展的突出矛盾和问题，进一步提高站位、明确方位、找准定位，开创忻州消防事业的新局面。</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bCs/>
          <w:sz w:val="32"/>
          <w:szCs w:val="32"/>
        </w:rPr>
        <w:t>1.</w:t>
      </w:r>
      <w:r>
        <w:rPr>
          <w:rFonts w:hint="eastAsia" w:ascii="仿宋" w:hAnsi="仿宋" w:eastAsia="仿宋" w:cs="仿宋"/>
          <w:b/>
          <w:bCs/>
          <w:sz w:val="32"/>
          <w:szCs w:val="32"/>
        </w:rPr>
        <w:t>消防体制改革对消防事业提出新要求。</w:t>
      </w:r>
      <w:r>
        <w:rPr>
          <w:rFonts w:hint="eastAsia" w:ascii="仿宋" w:hAnsi="仿宋" w:eastAsia="仿宋" w:cs="仿宋"/>
          <w:sz w:val="32"/>
          <w:szCs w:val="32"/>
        </w:rPr>
        <w:t>习近平总书记亲自向国家综合性消防救援队伍授旗并致训词，强调组建国家综合性消防救援队伍是党中央适应国家治理体系和治理能力现代化作出的战略决策。“十四五”时期，消防救援队伍要始终坚持“对党忠诚、纪律严明、赴汤蹈火、竭诚为民”建队方针，坚持纪律队伍建设标准，坚定走出中国特色消防救援队伍建设新路子，进一步推动消防领域简政放权，深化消防执法改革，创新社会治理模式，推动向多元社会主体协同治理转变。</w:t>
      </w:r>
    </w:p>
    <w:p>
      <w:pPr>
        <w:pStyle w:val="17"/>
        <w:keepNext w:val="0"/>
        <w:keepLines w:val="0"/>
        <w:pageBreakBefore w:val="0"/>
        <w:kinsoku/>
        <w:wordWrap/>
        <w:overflowPunct/>
        <w:topLinePunct w:val="0"/>
        <w:bidi w:val="0"/>
        <w:adjustRightInd w:val="0"/>
        <w:snapToGrid w:val="0"/>
        <w:spacing w:line="360" w:lineRule="auto"/>
        <w:ind w:firstLine="640" w:firstLineChars="200"/>
        <w:jc w:val="both"/>
        <w:textAlignment w:val="auto"/>
        <w:rPr>
          <w:rFonts w:hint="eastAsia" w:ascii="仿宋" w:hAnsi="仿宋" w:eastAsia="仿宋" w:cs="仿宋"/>
          <w:color w:val="auto"/>
          <w:spacing w:val="-4"/>
          <w:sz w:val="32"/>
          <w:szCs w:val="32"/>
        </w:rPr>
      </w:pPr>
      <w:r>
        <w:rPr>
          <w:rFonts w:hint="eastAsia" w:ascii="仿宋" w:hAnsi="仿宋" w:eastAsia="仿宋" w:cs="仿宋"/>
          <w:bCs/>
          <w:color w:val="auto"/>
          <w:sz w:val="32"/>
          <w:szCs w:val="32"/>
        </w:rPr>
        <w:t>2.</w:t>
      </w:r>
      <w:r>
        <w:rPr>
          <w:rFonts w:hint="eastAsia" w:ascii="仿宋" w:hAnsi="仿宋" w:eastAsia="仿宋" w:cs="仿宋"/>
          <w:b/>
          <w:bCs/>
          <w:color w:val="auto"/>
          <w:sz w:val="32"/>
          <w:szCs w:val="32"/>
        </w:rPr>
        <w:t>加快建设现代化保德、实现太忻经济一体化发展对消防事业提出新要求。</w:t>
      </w:r>
      <w:r>
        <w:rPr>
          <w:rFonts w:hint="eastAsia" w:ascii="仿宋" w:hAnsi="仿宋" w:eastAsia="仿宋" w:cs="仿宋"/>
          <w:color w:val="auto"/>
          <w:sz w:val="32"/>
          <w:szCs w:val="32"/>
        </w:rPr>
        <w:t>全面高水平建设社会主义现代化，城市经济发展和社会文明将达到新的高度。“十四五”期间，忻州市将全方位推动高质量发展，对接太忻经济一体化发展战略，积极</w:t>
      </w:r>
      <w:r>
        <w:rPr>
          <w:rFonts w:hint="eastAsia" w:ascii="仿宋" w:hAnsi="仿宋" w:eastAsia="仿宋" w:cs="仿宋"/>
          <w:color w:val="auto"/>
          <w:spacing w:val="-4"/>
          <w:sz w:val="32"/>
          <w:szCs w:val="32"/>
        </w:rPr>
        <w:t>融入京津冀、雄安新区等经济圈，未来将建成山西中部城市群发展“北引擎”、生态人居环境建设示范城市、以新型工业和文化旅游服务为主导的综合性城市、具有国际影响力的世界文化旅游名城和山西省新型能源、制造业、服务业、现代农业基地。</w:t>
      </w:r>
    </w:p>
    <w:p>
      <w:pPr>
        <w:pStyle w:val="17"/>
        <w:keepNext w:val="0"/>
        <w:keepLines w:val="0"/>
        <w:pageBreakBefore w:val="0"/>
        <w:kinsoku/>
        <w:wordWrap/>
        <w:overflowPunct/>
        <w:topLinePunct w:val="0"/>
        <w:bidi w:val="0"/>
        <w:adjustRightInd w:val="0"/>
        <w:snapToGrid w:val="0"/>
        <w:spacing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作为区域一体化发展的重要组成部分，保德县目前正处于传统产业转型升级加速推进期，新业态、新行业、新领域将快速发展，导致消防安全监管的难度增加。消防事业与经济社会发展不相适应的问题逐步凸显，消防安全布局、消防站数量、布点、消防通信、消防通道无法保障经济发展需求，极大地增加了灭火和应急救援难度，为新时期消防安全提出了新命题。</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bCs/>
          <w:sz w:val="32"/>
          <w:szCs w:val="32"/>
        </w:rPr>
        <w:t>3.</w:t>
      </w:r>
      <w:r>
        <w:rPr>
          <w:rFonts w:hint="eastAsia" w:ascii="仿宋" w:hAnsi="仿宋" w:eastAsia="仿宋" w:cs="仿宋"/>
          <w:b/>
          <w:bCs/>
          <w:sz w:val="32"/>
          <w:szCs w:val="32"/>
        </w:rPr>
        <w:t>职能任务拓展对消防事业提出新要求。</w:t>
      </w:r>
      <w:r>
        <w:rPr>
          <w:rFonts w:hint="eastAsia" w:ascii="仿宋" w:hAnsi="仿宋" w:eastAsia="仿宋" w:cs="仿宋"/>
          <w:sz w:val="32"/>
          <w:szCs w:val="32"/>
        </w:rPr>
        <w:t>在转制为国家综合性救援队伍之后，消防救援队伍职责任务已由原先的单一灭火救援向“全灾种、大应急”方向转变。改革转隶后的消防救援人员已成为新时代应急救援的主力军和国家队。灾害事故防治和管理部门统一于一体，这不仅对全县消防救援队伍提升消防救援能力提出了新的要求与任务，也对全县消防救援队伍如何提高综合防灾救灾能力提出了新的要求。</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outlineLvl w:val="0"/>
        <w:rPr>
          <w:rFonts w:hint="eastAsia" w:ascii="黑体" w:hAnsi="黑体" w:eastAsia="黑体" w:cs="黑体"/>
          <w:sz w:val="32"/>
          <w:szCs w:val="32"/>
        </w:rPr>
      </w:pPr>
      <w:bookmarkStart w:id="5" w:name="_Toc638940903"/>
      <w:r>
        <w:rPr>
          <w:rFonts w:hint="eastAsia" w:ascii="黑体" w:hAnsi="黑体" w:eastAsia="黑体" w:cs="黑体"/>
          <w:sz w:val="32"/>
          <w:szCs w:val="32"/>
        </w:rPr>
        <w:t>三、总体思路</w:t>
      </w:r>
      <w:bookmarkEnd w:id="5"/>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outlineLvl w:val="1"/>
        <w:rPr>
          <w:rFonts w:hint="eastAsia" w:ascii="楷体" w:hAnsi="楷体" w:eastAsia="楷体" w:cs="楷体"/>
          <w:sz w:val="32"/>
          <w:szCs w:val="32"/>
        </w:rPr>
      </w:pPr>
      <w:bookmarkStart w:id="6" w:name="_Toc1066895697"/>
      <w:r>
        <w:rPr>
          <w:rFonts w:hint="eastAsia" w:ascii="楷体" w:hAnsi="楷体" w:eastAsia="楷体" w:cs="楷体"/>
          <w:sz w:val="32"/>
          <w:szCs w:val="32"/>
        </w:rPr>
        <w:t>（一）指导思想</w:t>
      </w:r>
      <w:bookmarkEnd w:id="6"/>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高举习近平新时代中国特色社会主义思想伟大旗帜，深入学习贯彻习近平总书记关于应急管理重要论述和重要训词精神，积极落实习近平总书记关于安全生产的重要指示，牢固树立以人民为中心的发展思想和“人民至上、生命至上”理念，以消防安全形势持续稳定为根本目标，增强机遇意识、风险意识、争先意识，进一步健全消防安全责任体系、消防安全隐患治理体系和综合应急救援体系，创新社会消防安全管理，完善公共消防设施和消防装备，强化应急救援力量建设，提升公民消防安全素质，推动全县消防救援事业朝更高目标、更高水平发展。</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outlineLvl w:val="1"/>
        <w:rPr>
          <w:rFonts w:hint="eastAsia" w:ascii="楷体" w:hAnsi="楷体" w:eastAsia="楷体" w:cs="楷体"/>
          <w:sz w:val="32"/>
          <w:szCs w:val="32"/>
        </w:rPr>
      </w:pPr>
      <w:bookmarkStart w:id="7" w:name="_Toc807902514"/>
      <w:r>
        <w:rPr>
          <w:rFonts w:hint="eastAsia" w:ascii="楷体" w:hAnsi="楷体" w:eastAsia="楷体" w:cs="楷体"/>
          <w:sz w:val="32"/>
          <w:szCs w:val="32"/>
        </w:rPr>
        <w:t>（二）基本原则</w:t>
      </w:r>
      <w:bookmarkEnd w:id="7"/>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坚持党的领导、系统观念。</w:t>
      </w:r>
      <w:r>
        <w:rPr>
          <w:rFonts w:hint="eastAsia" w:ascii="仿宋" w:hAnsi="仿宋" w:eastAsia="仿宋" w:cs="仿宋"/>
          <w:sz w:val="32"/>
          <w:szCs w:val="32"/>
        </w:rPr>
        <w:t>坚持党对消防工作和消防救援队伍绝对领导，加强前瞻性思考、全局性谋划、战略性布局、整体性推进，着力固根基、扬优势、补短板、强弱项，完善市县一体、部门间高效协作运转机制。</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坚持人民至上、生命至上。</w:t>
      </w:r>
      <w:r>
        <w:rPr>
          <w:rFonts w:hint="eastAsia" w:ascii="仿宋" w:hAnsi="仿宋" w:eastAsia="仿宋" w:cs="仿宋"/>
          <w:sz w:val="32"/>
          <w:szCs w:val="32"/>
        </w:rPr>
        <w:t>牢固树立“以人民为中心”的宗旨，贯彻“预防为主、防消结合”的方针，始终把保障人民群众生命财产安全放在第一位，坚守安全底线，着力防范化解重大消防安全风险，最大限度减少人员伤亡和财产损失。</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坚持问题导向、精密智控。</w:t>
      </w:r>
      <w:r>
        <w:rPr>
          <w:rFonts w:hint="eastAsia" w:ascii="仿宋" w:hAnsi="仿宋" w:eastAsia="仿宋" w:cs="仿宋"/>
          <w:sz w:val="32"/>
          <w:szCs w:val="32"/>
        </w:rPr>
        <w:t>瞄准现有问题和短板，科学分析深层次原因，制定针对性措施，除隐患、补短板、强基础，加强风险识别、监测、预警、管控、整改、处置全过程预防控制，全面提升精密智控能力。</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坚持改革创新、科技支撑。</w:t>
      </w:r>
      <w:r>
        <w:rPr>
          <w:rFonts w:hint="eastAsia" w:ascii="仿宋" w:hAnsi="仿宋" w:eastAsia="仿宋" w:cs="仿宋"/>
          <w:sz w:val="32"/>
          <w:szCs w:val="32"/>
        </w:rPr>
        <w:t>贯彻落实中央全面深化消防执法改革的决策部署，着力破解体制机制难题。突出数字化引领工作变革、业务流程再造、助推转型发展，推动消防救援科技创新，提高消防工作科学化、专业化、智能化、精细化水平。</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坚持法治思维、协调发展。</w:t>
      </w:r>
      <w:r>
        <w:rPr>
          <w:rFonts w:hint="eastAsia" w:ascii="仿宋" w:hAnsi="仿宋" w:eastAsia="仿宋" w:cs="仿宋"/>
          <w:sz w:val="32"/>
          <w:szCs w:val="32"/>
        </w:rPr>
        <w:t>把“十四五”消防规划置于我县经济社会发展的大局中来谋划实施，围绕“活力新忻州、美丽后花园，发展高质量、治理现代化”的美好愿景，以及建成山西中部城市群发展的北引擎的号召，创新和完善社会消防安全治理体系，全面提升灭火应急救援能力，确保消防工作与城市建设协调发展。</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outlineLvl w:val="1"/>
        <w:rPr>
          <w:rFonts w:hint="eastAsia" w:ascii="楷体" w:hAnsi="楷体" w:eastAsia="楷体" w:cs="楷体"/>
          <w:sz w:val="32"/>
          <w:szCs w:val="32"/>
        </w:rPr>
      </w:pPr>
      <w:bookmarkStart w:id="8" w:name="_Toc26998745"/>
      <w:r>
        <w:rPr>
          <w:rFonts w:hint="eastAsia" w:ascii="楷体" w:hAnsi="楷体" w:eastAsia="楷体" w:cs="楷体"/>
          <w:sz w:val="32"/>
          <w:szCs w:val="32"/>
        </w:rPr>
        <w:t>（三）发展目标</w:t>
      </w:r>
      <w:bookmarkEnd w:id="8"/>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十四五”时期，全县消防事业发展将聚焦火灾预防、火灾扑救、综合应急救援三大职能任务，进一步完善与全县经济社会发展水平相匹配、相适应的公共消防安全体系，推动消防事业全面、协调、可持续发展，致力于为我县经济发展、社会稳定和人民群众安居乐业提供强有力的消防安全保障。</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color w:val="FF0000"/>
          <w:sz w:val="32"/>
          <w:szCs w:val="32"/>
        </w:rPr>
      </w:pPr>
      <w:r>
        <w:rPr>
          <w:rFonts w:hint="eastAsia" w:ascii="仿宋" w:hAnsi="仿宋" w:eastAsia="仿宋" w:cs="仿宋"/>
          <w:b/>
          <w:bCs/>
          <w:sz w:val="32"/>
          <w:szCs w:val="32"/>
        </w:rPr>
        <w:t>社会消防能力和体系现代化水平进一步提升。</w:t>
      </w:r>
      <w:r>
        <w:rPr>
          <w:rFonts w:hint="eastAsia" w:ascii="仿宋" w:hAnsi="仿宋" w:eastAsia="仿宋" w:cs="仿宋"/>
          <w:sz w:val="32"/>
          <w:szCs w:val="32"/>
        </w:rPr>
        <w:t>对照以“人民为中心”的发展思想，对照推进基层治理能力和治理体系现代化的现实需要，对照大发展、快发展、高质量发展的标准要求，聚焦“遏较大、减总量、控亡人、固本质、强智控、提素养”目</w:t>
      </w:r>
      <w:r>
        <w:rPr>
          <w:rFonts w:hint="eastAsia" w:ascii="仿宋" w:hAnsi="仿宋" w:eastAsia="仿宋" w:cs="仿宋"/>
          <w:color w:val="auto"/>
          <w:sz w:val="32"/>
          <w:szCs w:val="32"/>
        </w:rPr>
        <w:t>标，不断加强消防制度建设，完善社会消防安全治理体系，大力提升“专业化、精准化、智能化”水平。预计2025年底专职消防人员占全县总人口比例的0.25‰、乡镇消防队达标率达到100%。</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社会火灾防控水平得到进一步提高。</w:t>
      </w:r>
      <w:r>
        <w:rPr>
          <w:rFonts w:hint="eastAsia" w:ascii="仿宋" w:hAnsi="仿宋" w:eastAsia="仿宋" w:cs="仿宋"/>
          <w:sz w:val="32"/>
          <w:szCs w:val="32"/>
        </w:rPr>
        <w:t>全面推进消防安全专项整治三年行动，重点打通消防安全“生命通道”，持续整治高层建筑、商业综合体、老旧小区、出租房、小微企业、石化行业和电动自行车、电气火灾隐患。提高城乡消防安全基础，强化部门行业管理，落实单位消防安全主体责任。火灾事故起数逐年下降，杜绝较大以上亡人火灾事故，有效遏制小火亡人事</w:t>
      </w:r>
      <w:r>
        <w:rPr>
          <w:rFonts w:hint="eastAsia" w:ascii="仿宋" w:hAnsi="仿宋" w:eastAsia="仿宋" w:cs="仿宋"/>
          <w:color w:val="auto"/>
          <w:sz w:val="32"/>
          <w:szCs w:val="32"/>
        </w:rPr>
        <w:t>故，到2025年十万常住人口火灾死亡率低于0.1。实现</w:t>
      </w:r>
      <w:r>
        <w:rPr>
          <w:rFonts w:hint="eastAsia" w:ascii="仿宋" w:hAnsi="仿宋" w:eastAsia="仿宋" w:cs="仿宋"/>
          <w:sz w:val="32"/>
          <w:szCs w:val="32"/>
        </w:rPr>
        <w:t>火灾隐患治理精准高效，社会消防安全环境明显改善。</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消防综合保障能力有效增强。</w:t>
      </w:r>
      <w:r>
        <w:rPr>
          <w:rFonts w:hint="eastAsia" w:ascii="仿宋" w:hAnsi="仿宋" w:eastAsia="仿宋" w:cs="仿宋"/>
          <w:sz w:val="32"/>
          <w:szCs w:val="32"/>
        </w:rPr>
        <w:t>城镇公共消防设施一体化建设水平明显提升，消防队站选址布点更加合理。训练设施、基本作战装备、特种攻坚装备、个人防护装备配齐配强。战勤保障装备物资模块化储备、快速机动投送能力全域覆盖。</w:t>
      </w:r>
      <w:r>
        <w:rPr>
          <w:rFonts w:hint="eastAsia" w:ascii="仿宋" w:hAnsi="仿宋" w:eastAsia="仿宋" w:cs="仿宋"/>
          <w:color w:val="000000"/>
          <w:sz w:val="32"/>
          <w:szCs w:val="32"/>
        </w:rPr>
        <w:t>力争2024年新增消防车辆数量达到2辆。</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全民消防安全素质大幅提升。</w:t>
      </w:r>
      <w:r>
        <w:rPr>
          <w:rFonts w:hint="eastAsia" w:ascii="仿宋" w:hAnsi="仿宋" w:eastAsia="仿宋" w:cs="仿宋"/>
          <w:sz w:val="32"/>
          <w:szCs w:val="32"/>
        </w:rPr>
        <w:t>以消防宣传“五进”工作为抓手，建立健全消防宣传教育常态化工作机制，营造“人人关注、人人参与、人人监管”的消防安全氛围。固化和创新宣传手段，巩固和拓展宣传阵地，深入开展社会化宣传教育活动，强化消防科普、警示提示宣传，增强全民消防安全意识和自防自救能</w:t>
      </w:r>
      <w:r>
        <w:rPr>
          <w:rFonts w:hint="eastAsia" w:ascii="仿宋" w:hAnsi="仿宋" w:eastAsia="仿宋" w:cs="仿宋"/>
          <w:color w:val="auto"/>
          <w:sz w:val="32"/>
          <w:szCs w:val="32"/>
        </w:rPr>
        <w:t>力，力争消防宣传志愿者队伍2025年达到</w:t>
      </w:r>
      <w:r>
        <w:rPr>
          <w:rFonts w:hint="eastAsia" w:ascii="仿宋" w:hAnsi="仿宋" w:eastAsia="仿宋" w:cs="仿宋"/>
          <w:color w:val="auto"/>
          <w:sz w:val="32"/>
          <w:szCs w:val="32"/>
          <w:lang w:val="en-US" w:eastAsia="zh-CN"/>
        </w:rPr>
        <w:t>35</w:t>
      </w:r>
      <w:r>
        <w:rPr>
          <w:rFonts w:hint="eastAsia" w:ascii="仿宋" w:hAnsi="仿宋" w:eastAsia="仿宋" w:cs="仿宋"/>
          <w:color w:val="auto"/>
          <w:sz w:val="32"/>
          <w:szCs w:val="32"/>
        </w:rPr>
        <w:t>00人，</w:t>
      </w:r>
      <w:r>
        <w:rPr>
          <w:rFonts w:hint="eastAsia" w:ascii="仿宋" w:hAnsi="仿宋" w:eastAsia="仿宋" w:cs="仿宋"/>
          <w:color w:val="000000"/>
          <w:sz w:val="32"/>
          <w:szCs w:val="32"/>
        </w:rPr>
        <w:t>实现全民消防安全常识知晓率2025年达到90%以上。</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rPr>
          <w:rFonts w:hint="eastAsia" w:ascii="仿宋" w:hAnsi="仿宋" w:eastAsia="仿宋" w:cs="仿宋"/>
          <w:bCs/>
          <w:sz w:val="32"/>
          <w:szCs w:val="32"/>
        </w:rPr>
      </w:pPr>
      <w:r>
        <w:rPr>
          <w:rFonts w:hint="eastAsia" w:ascii="仿宋" w:hAnsi="仿宋" w:eastAsia="仿宋" w:cs="仿宋"/>
          <w:bCs/>
          <w:sz w:val="32"/>
          <w:szCs w:val="32"/>
        </w:rPr>
        <w:t>表3：消防事业发展“十四五”时期主要指标</w:t>
      </w:r>
    </w:p>
    <w:tbl>
      <w:tblPr>
        <w:tblStyle w:val="1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659"/>
        <w:gridCol w:w="2349"/>
        <w:gridCol w:w="1518"/>
        <w:gridCol w:w="1274"/>
        <w:gridCol w:w="1276"/>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类别</w:t>
            </w:r>
          </w:p>
        </w:tc>
        <w:tc>
          <w:tcPr>
            <w:tcW w:w="65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序号</w:t>
            </w:r>
          </w:p>
        </w:tc>
        <w:tc>
          <w:tcPr>
            <w:tcW w:w="2349"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指标</w:t>
            </w:r>
          </w:p>
        </w:tc>
        <w:tc>
          <w:tcPr>
            <w:tcW w:w="151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单位</w:t>
            </w:r>
          </w:p>
        </w:tc>
        <w:tc>
          <w:tcPr>
            <w:tcW w:w="12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“十三五”时期基础值</w:t>
            </w:r>
          </w:p>
        </w:tc>
        <w:tc>
          <w:tcPr>
            <w:tcW w:w="12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2025年目标值</w:t>
            </w:r>
          </w:p>
        </w:tc>
        <w:tc>
          <w:tcPr>
            <w:tcW w:w="12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指标</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消防安全形势</w:t>
            </w:r>
          </w:p>
        </w:tc>
        <w:tc>
          <w:tcPr>
            <w:tcW w:w="65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234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年度十万人火灾死亡率</w:t>
            </w:r>
          </w:p>
        </w:tc>
        <w:tc>
          <w:tcPr>
            <w:tcW w:w="151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人/十万人</w:t>
            </w:r>
          </w:p>
        </w:tc>
        <w:tc>
          <w:tcPr>
            <w:tcW w:w="12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0.44</w:t>
            </w:r>
          </w:p>
        </w:tc>
        <w:tc>
          <w:tcPr>
            <w:tcW w:w="12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≤0.1</w:t>
            </w:r>
          </w:p>
        </w:tc>
        <w:tc>
          <w:tcPr>
            <w:tcW w:w="12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center"/>
              <w:textAlignment w:val="auto"/>
              <w:rPr>
                <w:rFonts w:hint="eastAsia" w:ascii="仿宋" w:hAnsi="仿宋" w:eastAsia="仿宋" w:cs="仿宋"/>
                <w:color w:val="auto"/>
                <w:sz w:val="21"/>
                <w:szCs w:val="21"/>
              </w:rPr>
            </w:pPr>
          </w:p>
        </w:tc>
        <w:tc>
          <w:tcPr>
            <w:tcW w:w="65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2349"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万人火灾发生率</w:t>
            </w:r>
          </w:p>
        </w:tc>
        <w:tc>
          <w:tcPr>
            <w:tcW w:w="151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p>
        </w:tc>
        <w:tc>
          <w:tcPr>
            <w:tcW w:w="12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16.57</w:t>
            </w:r>
          </w:p>
        </w:tc>
        <w:tc>
          <w:tcPr>
            <w:tcW w:w="12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≤1.4</w:t>
            </w:r>
          </w:p>
        </w:tc>
        <w:tc>
          <w:tcPr>
            <w:tcW w:w="12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center"/>
              <w:textAlignment w:val="auto"/>
              <w:rPr>
                <w:rFonts w:hint="eastAsia" w:ascii="仿宋" w:hAnsi="仿宋" w:eastAsia="仿宋" w:cs="仿宋"/>
                <w:color w:val="auto"/>
                <w:sz w:val="21"/>
                <w:szCs w:val="21"/>
              </w:rPr>
            </w:pPr>
          </w:p>
        </w:tc>
        <w:tc>
          <w:tcPr>
            <w:tcW w:w="65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2349"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亿元GDP火灾损失率</w:t>
            </w:r>
          </w:p>
        </w:tc>
        <w:tc>
          <w:tcPr>
            <w:tcW w:w="151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元</w:t>
            </w:r>
          </w:p>
        </w:tc>
        <w:tc>
          <w:tcPr>
            <w:tcW w:w="12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0.022</w:t>
            </w:r>
          </w:p>
        </w:tc>
        <w:tc>
          <w:tcPr>
            <w:tcW w:w="12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≤0.01</w:t>
            </w:r>
          </w:p>
        </w:tc>
        <w:tc>
          <w:tcPr>
            <w:tcW w:w="12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综合应急救援力量</w:t>
            </w:r>
          </w:p>
        </w:tc>
        <w:tc>
          <w:tcPr>
            <w:tcW w:w="65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2349"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专职消防人员占全县总人口比例</w:t>
            </w:r>
          </w:p>
        </w:tc>
        <w:tc>
          <w:tcPr>
            <w:tcW w:w="151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p>
        </w:tc>
        <w:tc>
          <w:tcPr>
            <w:tcW w:w="12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0.10</w:t>
            </w:r>
          </w:p>
        </w:tc>
        <w:tc>
          <w:tcPr>
            <w:tcW w:w="12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≥0.25</w:t>
            </w:r>
          </w:p>
        </w:tc>
        <w:tc>
          <w:tcPr>
            <w:tcW w:w="12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center"/>
              <w:textAlignment w:val="auto"/>
              <w:rPr>
                <w:rFonts w:hint="eastAsia" w:ascii="仿宋" w:hAnsi="仿宋" w:eastAsia="仿宋" w:cs="仿宋"/>
                <w:color w:val="auto"/>
                <w:sz w:val="21"/>
                <w:szCs w:val="21"/>
              </w:rPr>
            </w:pPr>
          </w:p>
        </w:tc>
        <w:tc>
          <w:tcPr>
            <w:tcW w:w="65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w:t>
            </w:r>
          </w:p>
        </w:tc>
        <w:tc>
          <w:tcPr>
            <w:tcW w:w="2349"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乡镇消防队达标率</w:t>
            </w:r>
          </w:p>
        </w:tc>
        <w:tc>
          <w:tcPr>
            <w:tcW w:w="1518"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p>
        </w:tc>
        <w:tc>
          <w:tcPr>
            <w:tcW w:w="12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50</w:t>
            </w:r>
          </w:p>
        </w:tc>
        <w:tc>
          <w:tcPr>
            <w:tcW w:w="12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100</w:t>
            </w:r>
          </w:p>
        </w:tc>
        <w:tc>
          <w:tcPr>
            <w:tcW w:w="12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综合保障能力</w:t>
            </w:r>
          </w:p>
        </w:tc>
        <w:tc>
          <w:tcPr>
            <w:tcW w:w="65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7</w:t>
            </w:r>
          </w:p>
        </w:tc>
        <w:tc>
          <w:tcPr>
            <w:tcW w:w="2349"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新增消防站数量</w:t>
            </w:r>
          </w:p>
        </w:tc>
        <w:tc>
          <w:tcPr>
            <w:tcW w:w="151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个</w:t>
            </w:r>
          </w:p>
        </w:tc>
        <w:tc>
          <w:tcPr>
            <w:tcW w:w="12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both"/>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0</w:t>
            </w:r>
          </w:p>
        </w:tc>
        <w:tc>
          <w:tcPr>
            <w:tcW w:w="12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12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center"/>
              <w:textAlignment w:val="auto"/>
              <w:rPr>
                <w:rFonts w:hint="eastAsia" w:ascii="仿宋" w:hAnsi="仿宋" w:eastAsia="仿宋" w:cs="仿宋"/>
                <w:color w:val="auto"/>
                <w:sz w:val="21"/>
                <w:szCs w:val="21"/>
              </w:rPr>
            </w:pPr>
          </w:p>
        </w:tc>
        <w:tc>
          <w:tcPr>
            <w:tcW w:w="65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8</w:t>
            </w:r>
          </w:p>
        </w:tc>
        <w:tc>
          <w:tcPr>
            <w:tcW w:w="2349"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新增消防车辆</w:t>
            </w:r>
          </w:p>
        </w:tc>
        <w:tc>
          <w:tcPr>
            <w:tcW w:w="151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辆</w:t>
            </w:r>
          </w:p>
        </w:tc>
        <w:tc>
          <w:tcPr>
            <w:tcW w:w="12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both"/>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0</w:t>
            </w:r>
          </w:p>
        </w:tc>
        <w:tc>
          <w:tcPr>
            <w:tcW w:w="12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c>
          <w:tcPr>
            <w:tcW w:w="12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消防安全软环境</w:t>
            </w:r>
          </w:p>
        </w:tc>
        <w:tc>
          <w:tcPr>
            <w:tcW w:w="65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9</w:t>
            </w:r>
          </w:p>
        </w:tc>
        <w:tc>
          <w:tcPr>
            <w:tcW w:w="2349"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消防常识知晓率</w:t>
            </w:r>
          </w:p>
        </w:tc>
        <w:tc>
          <w:tcPr>
            <w:tcW w:w="151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p>
        </w:tc>
        <w:tc>
          <w:tcPr>
            <w:tcW w:w="12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p>
        </w:tc>
        <w:tc>
          <w:tcPr>
            <w:tcW w:w="12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90</w:t>
            </w:r>
          </w:p>
        </w:tc>
        <w:tc>
          <w:tcPr>
            <w:tcW w:w="12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center"/>
              <w:textAlignment w:val="auto"/>
              <w:rPr>
                <w:rFonts w:hint="eastAsia" w:ascii="仿宋" w:hAnsi="仿宋" w:eastAsia="仿宋" w:cs="仿宋"/>
                <w:color w:val="auto"/>
                <w:sz w:val="21"/>
                <w:szCs w:val="21"/>
              </w:rPr>
            </w:pPr>
          </w:p>
        </w:tc>
        <w:tc>
          <w:tcPr>
            <w:tcW w:w="65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2349"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消防宣传志愿者队伍建设</w:t>
            </w:r>
          </w:p>
        </w:tc>
        <w:tc>
          <w:tcPr>
            <w:tcW w:w="151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万人</w:t>
            </w:r>
          </w:p>
        </w:tc>
        <w:tc>
          <w:tcPr>
            <w:tcW w:w="12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0.1</w:t>
            </w:r>
          </w:p>
        </w:tc>
        <w:tc>
          <w:tcPr>
            <w:tcW w:w="12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0.35</w:t>
            </w:r>
          </w:p>
        </w:tc>
        <w:tc>
          <w:tcPr>
            <w:tcW w:w="12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其他</w:t>
            </w:r>
          </w:p>
        </w:tc>
        <w:tc>
          <w:tcPr>
            <w:tcW w:w="659"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11</w:t>
            </w:r>
          </w:p>
        </w:tc>
        <w:tc>
          <w:tcPr>
            <w:tcW w:w="2349"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消防专项规划修编完成率</w:t>
            </w:r>
          </w:p>
        </w:tc>
        <w:tc>
          <w:tcPr>
            <w:tcW w:w="151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p>
        </w:tc>
        <w:tc>
          <w:tcPr>
            <w:tcW w:w="12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50</w:t>
            </w:r>
          </w:p>
        </w:tc>
        <w:tc>
          <w:tcPr>
            <w:tcW w:w="12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100</w:t>
            </w:r>
          </w:p>
        </w:tc>
        <w:tc>
          <w:tcPr>
            <w:tcW w:w="1274"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约束性</w:t>
            </w:r>
          </w:p>
        </w:tc>
      </w:tr>
    </w:tbl>
    <w:p>
      <w:pPr>
        <w:keepNext w:val="0"/>
        <w:keepLines w:val="0"/>
        <w:pageBreakBefore w:val="0"/>
        <w:kinsoku/>
        <w:wordWrap/>
        <w:overflowPunct/>
        <w:topLinePunct w:val="0"/>
        <w:bidi w:val="0"/>
        <w:adjustRightInd w:val="0"/>
        <w:snapToGrid w:val="0"/>
        <w:spacing w:line="360" w:lineRule="auto"/>
        <w:ind w:firstLine="640" w:firstLineChars="200"/>
        <w:jc w:val="both"/>
        <w:textAlignment w:val="auto"/>
        <w:outlineLvl w:val="0"/>
        <w:rPr>
          <w:rFonts w:hint="eastAsia" w:ascii="仿宋" w:hAnsi="仿宋" w:eastAsia="仿宋" w:cs="仿宋"/>
          <w:sz w:val="32"/>
          <w:szCs w:val="32"/>
        </w:rPr>
      </w:pPr>
      <w:bookmarkStart w:id="9" w:name="_Toc22460609"/>
      <w:r>
        <w:rPr>
          <w:rFonts w:hint="eastAsia" w:ascii="仿宋" w:hAnsi="仿宋" w:eastAsia="仿宋" w:cs="仿宋"/>
          <w:sz w:val="32"/>
          <w:szCs w:val="32"/>
        </w:rPr>
        <w:t>四、重点任务</w:t>
      </w:r>
      <w:bookmarkEnd w:id="9"/>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outlineLvl w:val="1"/>
        <w:rPr>
          <w:rFonts w:hint="eastAsia" w:ascii="仿宋" w:hAnsi="仿宋" w:eastAsia="仿宋" w:cs="仿宋"/>
          <w:sz w:val="32"/>
          <w:szCs w:val="32"/>
        </w:rPr>
      </w:pPr>
      <w:bookmarkStart w:id="10" w:name="_Toc1114176449"/>
      <w:r>
        <w:rPr>
          <w:rFonts w:hint="eastAsia" w:ascii="仿宋" w:hAnsi="仿宋" w:eastAsia="仿宋" w:cs="仿宋"/>
          <w:sz w:val="32"/>
          <w:szCs w:val="32"/>
        </w:rPr>
        <w:t>（一）健全消防安全责任体系</w:t>
      </w:r>
      <w:bookmarkEnd w:id="10"/>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pacing w:val="6"/>
          <w:sz w:val="32"/>
          <w:szCs w:val="32"/>
        </w:rPr>
      </w:pPr>
      <w:r>
        <w:rPr>
          <w:rFonts w:hint="eastAsia" w:ascii="仿宋" w:hAnsi="仿宋" w:eastAsia="仿宋" w:cs="仿宋"/>
          <w:b/>
          <w:bCs/>
          <w:sz w:val="32"/>
          <w:szCs w:val="32"/>
        </w:rPr>
        <w:t>严</w:t>
      </w:r>
      <w:r>
        <w:rPr>
          <w:rFonts w:hint="eastAsia" w:ascii="仿宋" w:hAnsi="仿宋" w:eastAsia="仿宋" w:cs="仿宋"/>
          <w:b/>
          <w:bCs/>
          <w:spacing w:val="6"/>
          <w:sz w:val="32"/>
          <w:szCs w:val="32"/>
        </w:rPr>
        <w:t>格落实国务院出台的安全生产十五条措施，坚决防范遏制重特大事故。</w:t>
      </w:r>
      <w:r>
        <w:rPr>
          <w:rFonts w:hint="eastAsia" w:ascii="仿宋" w:hAnsi="仿宋" w:eastAsia="仿宋" w:cs="仿宋"/>
          <w:spacing w:val="6"/>
          <w:sz w:val="32"/>
          <w:szCs w:val="32"/>
        </w:rPr>
        <w:t>相关措施包括：严格落实地方党委安全生产责任、严格落实地方政府安全生产责任、严格落实部门安全监管责任、严肃追究领导责任和监管责任、企业主要负责人必须严格履行第一责任人责任、深入扎实开展安全生产大检查、牢牢守住项目审批安全红线、严厉查处违法分包转包和挂靠资质行为。</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强化党委政府统一领导。</w:t>
      </w:r>
      <w:r>
        <w:rPr>
          <w:rFonts w:hint="eastAsia" w:ascii="仿宋" w:hAnsi="仿宋" w:eastAsia="仿宋" w:cs="仿宋"/>
          <w:sz w:val="32"/>
          <w:szCs w:val="32"/>
        </w:rPr>
        <w:t>深化落实《山西省消防安全责任制实施办法》，明晰政府分管领导责任，强化落实每半年提请政府常务会议研究、年度消防工作述职、相应等级火灾事故到场组织处置等要求。完善消防安全委员会工作体系，制定消防安全委员会常态化工作机制，定期调整各级消防安全委员会组成，实现各级消防安全委员会办公室常态化运行。落实重大火灾隐患挂牌督办工作机制，对消防安全问题突出、存在重大火灾隐患的单位和地区，实施政府挂牌督办，明确督办单位和属地政府责任。</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强化行业部门责任落实。</w:t>
      </w:r>
      <w:r>
        <w:rPr>
          <w:rFonts w:hint="eastAsia" w:ascii="仿宋" w:hAnsi="仿宋" w:eastAsia="仿宋" w:cs="仿宋"/>
          <w:sz w:val="32"/>
          <w:szCs w:val="32"/>
        </w:rPr>
        <w:t>有关部门明确消防安全工作职责，落实“三管三必须”要求，推进各行业监管部门落实“一岗双责”。组织开展行业系统消防安全标准化管理。消防救援机构依法实施消防安全综合监管职责，依法开展消防监督检查、实施消防行政处罚、组织针对性消防安全专项治理、组织或参与火灾事故调查处理，督促协调指导有关部门共同做好消防安全工作。</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强化单位主体责任落实。</w:t>
      </w:r>
      <w:r>
        <w:rPr>
          <w:rFonts w:hint="eastAsia" w:ascii="仿宋" w:hAnsi="仿宋" w:eastAsia="仿宋" w:cs="仿宋"/>
          <w:sz w:val="32"/>
          <w:szCs w:val="32"/>
        </w:rPr>
        <w:t>建立单位责任人、管理人履职能力常态化培训制度，完成对既有重点抽查对象的消防安全责任人、管理人培训全覆盖。落实差异化火灾防范措施，制定单位火灾风险识别办法，实施不同频次、不同内容的抽查，督促单位依据火灾风险差异落实针对性防范措施。强化消防安全责任落实，出台一批针对性消防安全管理制度，推行单位消防安全承诺制，将单位在办理消防行政许可、日常消防安全管理中作出的承诺纳入消防行业信用监管内容。</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强化责任追究和工作落实。</w:t>
      </w:r>
      <w:r>
        <w:rPr>
          <w:rFonts w:hint="eastAsia" w:ascii="仿宋" w:hAnsi="仿宋" w:eastAsia="仿宋" w:cs="仿宋"/>
          <w:sz w:val="32"/>
          <w:szCs w:val="32"/>
        </w:rPr>
        <w:t>依照忻州市《火灾调查处理规定》，健全火灾事故调查处理机制，落实火灾事故调查处理实施办法，规范调查处理的工作程序，强化消防救援机构与纪检监察机关、司法机关协调配合，严格落实火灾事故防范和整改措施评估制度，针对事故教训及时完善标准、强化管理、堵塞漏洞。提请县政府与各乡（镇）政府、管委会、相关县级部门签订消防工作责任书，明确年度重点任务，定期开展巡查检查，督促整改突出问题，定期开展消防工作考核，考核结果作为政府主要负责人和领导班子综合考核评价的重要依据。</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outlineLvl w:val="1"/>
        <w:rPr>
          <w:rFonts w:hint="eastAsia" w:ascii="仿宋" w:hAnsi="仿宋" w:eastAsia="仿宋" w:cs="仿宋"/>
          <w:sz w:val="32"/>
          <w:szCs w:val="32"/>
        </w:rPr>
      </w:pPr>
      <w:bookmarkStart w:id="11" w:name="_Toc2030096912"/>
      <w:r>
        <w:rPr>
          <w:rFonts w:hint="eastAsia" w:ascii="仿宋" w:hAnsi="仿宋" w:eastAsia="仿宋" w:cs="仿宋"/>
          <w:sz w:val="32"/>
          <w:szCs w:val="32"/>
        </w:rPr>
        <w:t>（二）加强社会消防治理体系</w:t>
      </w:r>
      <w:bookmarkEnd w:id="11"/>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outlineLvl w:val="1"/>
        <w:rPr>
          <w:rFonts w:hint="eastAsia" w:ascii="仿宋" w:hAnsi="仿宋" w:eastAsia="仿宋" w:cs="仿宋"/>
          <w:sz w:val="32"/>
          <w:szCs w:val="32"/>
        </w:rPr>
      </w:pPr>
      <w:r>
        <w:rPr>
          <w:rFonts w:hint="eastAsia" w:ascii="仿宋" w:hAnsi="仿宋" w:eastAsia="仿宋" w:cs="仿宋"/>
          <w:b/>
          <w:bCs/>
          <w:sz w:val="32"/>
          <w:szCs w:val="32"/>
        </w:rPr>
        <w:t>持续推进打通消防生命通道治理。</w:t>
      </w:r>
      <w:r>
        <w:rPr>
          <w:rFonts w:hint="eastAsia" w:ascii="仿宋" w:hAnsi="仿宋" w:eastAsia="仿宋" w:cs="仿宋"/>
          <w:sz w:val="32"/>
          <w:szCs w:val="32"/>
        </w:rPr>
        <w:t>单位和新建住宅小区对消防车通道逐一划线、标名、立牌，实行标识化管理，确保消防车通道畅通；老旧小区要纳入改造计划，全面提升老旧小区消防车通行能力。积极推动城市停车场建设，优化停车资源管理使用。加强综合执法，提升执法效能，探索建立与公民、企业诚信制度挂钩的信用综合监管机制。</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持续开展高层建筑消防安全综合整治。</w:t>
      </w:r>
      <w:r>
        <w:rPr>
          <w:rFonts w:hint="eastAsia" w:ascii="仿宋" w:hAnsi="仿宋" w:eastAsia="仿宋" w:cs="仿宋"/>
          <w:b w:val="0"/>
          <w:bCs w:val="0"/>
          <w:color w:val="auto"/>
          <w:sz w:val="32"/>
          <w:szCs w:val="32"/>
        </w:rPr>
        <w:t>全面推进我县高层建筑消防安全长效管理工作</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整合社会管理资</w:t>
      </w:r>
      <w:r>
        <w:rPr>
          <w:rFonts w:hint="eastAsia" w:ascii="仿宋" w:hAnsi="仿宋" w:eastAsia="仿宋" w:cs="仿宋"/>
          <w:color w:val="auto"/>
          <w:sz w:val="32"/>
          <w:szCs w:val="32"/>
        </w:rPr>
        <w:t>源</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按照属地管理原则</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落实主体责任</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健全长效机制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着力建设标准化、规范化、制度化为一体的高层建筑消防安全防控体系,进一步摸清全</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高层建筑基本情况，力争实现高层建筑安全隐患得到有效治理，每栋高层建筑消防安全管理责任得到有效落实，确保我县高层建筑不发生重大消防安全事故。严格落实高</w:t>
      </w:r>
      <w:r>
        <w:rPr>
          <w:rFonts w:hint="eastAsia" w:ascii="仿宋" w:hAnsi="仿宋" w:eastAsia="仿宋" w:cs="仿宋"/>
          <w:sz w:val="32"/>
          <w:szCs w:val="32"/>
        </w:rPr>
        <w:t>层建筑消防安全管理规定，不具备自主维保检测能力的高层建筑聘请具备从业条件的消防技术服务机构或者消防设施施工安装企业进行维保检测。高层公共建筑、高层住宅小区至少组织建立一支微型消防站队伍。到2023年，全县高层建筑消防设施完好率达到90%以上。</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提升大型商业综合体和大体量建筑消防管理水平。</w:t>
      </w:r>
      <w:r>
        <w:rPr>
          <w:rFonts w:hint="eastAsia" w:ascii="仿宋" w:hAnsi="仿宋" w:eastAsia="仿宋" w:cs="仿宋"/>
          <w:sz w:val="32"/>
          <w:szCs w:val="32"/>
        </w:rPr>
        <w:t>严格落实大型商业综合体消防安全管理规则，大型商业综合体内部以功能分类分区、以店铺为单元推行网格化消防管理制度，实行消防设施、餐饮场所、重点部位每季度消防安全检查评估制度。建立全员消防培训制度，分区域建立应急处置快速响应机制，优化部署内部消防救援力量，每半年组织消防演练。督促便民服务中心等新建大体量建筑管理单位严格落实消防安全管理制度。到2024年，大型商业综合体和大体量建筑消防安全管理达标率100%。</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提升煤矿企业和园区消防安全能力。</w:t>
      </w:r>
      <w:r>
        <w:rPr>
          <w:rFonts w:hint="eastAsia" w:ascii="仿宋" w:hAnsi="仿宋" w:eastAsia="仿宋" w:cs="仿宋"/>
          <w:sz w:val="32"/>
          <w:szCs w:val="32"/>
        </w:rPr>
        <w:t>针对保德县煤矿企业居多的现状，深入实施煤碳行业安全整治攻坚提升行动。煤矿企业建立消防安全风险评估机制和“一厂一册三卡”制度，定期组织开展全过程、全方位的危害辨识、风险评估，严格落实管控；按标准配置、更换消防设施、器材，严控防火间距；依法建立完善企业专（兼）职消防队，建立安全事故工艺处置队。建立部门联动和专家值守应急制度，储备相应的救援物资和移动工艺处置设施；改建供水管网，组建灭火救援事故处置编队。</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开展小微企业和园区消防安全综合整治。</w:t>
      </w:r>
      <w:r>
        <w:rPr>
          <w:rFonts w:hint="eastAsia" w:ascii="仿宋" w:hAnsi="仿宋" w:eastAsia="仿宋" w:cs="仿宋"/>
          <w:sz w:val="32"/>
          <w:szCs w:val="32"/>
        </w:rPr>
        <w:t>规范管理小微企业园区，确保园区消防基础设施齐全、建筑消防设施完好、生产（储存）火灾危险性符合要求，按标准建设微型消防站。加强租赁厂房（特别是“厂中厂”）消防安全管理，租赁双方明确消防安全责任和要求。将小微企业消防安全改造列入民生实事工程，督办整改一批重大火灾隐患。2022年底前涉及政府挂牌的“厂中厂”“租赁生产”的生产加工类小微企业重大火灾隐患整改情况有所提升。</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开展老旧场所突出风险治理。</w:t>
      </w:r>
      <w:r>
        <w:rPr>
          <w:rFonts w:hint="eastAsia" w:ascii="仿宋" w:hAnsi="仿宋" w:eastAsia="仿宋" w:cs="仿宋"/>
          <w:sz w:val="32"/>
          <w:szCs w:val="32"/>
        </w:rPr>
        <w:t>将老旧小区、家庭生产加工作坊、“三合一”场所、城乡结合部等突出风险防范和处置纳入民生实事工程，结合新型城镇化建设、城镇老旧小区改造、城镇棚户区改造、农房体系构建和乡村风貌提升、社会综合治理等工作，分类施策、分类整治。对存在重大火灾隐患、久拖不改的老旧场所，各地每年督办整改一批。2022年，以乡镇（街道）为单位，老旧场所火灾风险差异化防控措施基本形成。</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抓好新材料新业态突出风险治理和区域性个性化专项治理。</w:t>
      </w:r>
      <w:r>
        <w:rPr>
          <w:rFonts w:hint="eastAsia" w:ascii="仿宋" w:hAnsi="仿宋" w:eastAsia="仿宋" w:cs="仿宋"/>
          <w:sz w:val="32"/>
          <w:szCs w:val="32"/>
        </w:rPr>
        <w:t>建立健全保德县半导体、碳基新材料、光伏、特种金属新材料、节能环保材料等为主导的新材料和生物医药、农产品加工制造、特色轻工产品制造等现代化产业集群的火灾风险预估预判机制。分析评估电子商务、物流业、新型商业等新业态消防安全风险，强化行业消防管理措施，引导产业安全发展。各地结合本地行业消防管理措施，引导产业安全发展。各地结合本地行业特点和火灾风险，开展个性化消防安全专项治理，切实消除本地区突出火灾隐患，改善消防安全环境。</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深化电动自行车消防安全综合治理。</w:t>
      </w:r>
      <w:r>
        <w:rPr>
          <w:rFonts w:hint="eastAsia" w:ascii="仿宋" w:hAnsi="仿宋" w:eastAsia="仿宋" w:cs="仿宋"/>
          <w:sz w:val="32"/>
          <w:szCs w:val="32"/>
        </w:rPr>
        <w:t>继续深化全县电动自行车消防安全综合治理专项行动。组织开展电动自行车生产、销售和维修领域专项治理，依法打击违法违规生产、销售电动自行车行为；组织开展电动自行车强制性国家标准宣贯；组织开展电动自行车集中停放充电点建设和管理专项治理，2022年，居民住宅区全部落实电动自行车集中管理；组织开展电动自行车违规停放充电治理和消防安全宣传教育工作，强化群众消防安全意识。</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开展出租房（民房）消防安全综合治理。</w:t>
      </w:r>
      <w:r>
        <w:rPr>
          <w:rFonts w:hint="eastAsia" w:ascii="仿宋" w:hAnsi="仿宋" w:eastAsia="仿宋" w:cs="仿宋"/>
          <w:sz w:val="32"/>
          <w:szCs w:val="32"/>
        </w:rPr>
        <w:t>按照民房安全有关要求，继续组织基层力量复查登记出租房（民房）。督促房屋租赁企业规范出租房消防安全管理，对集中连片的居住出租房实施“旅馆式”管理。鼓励引导企业配建员工集体宿舍，推进公共租赁用房建设。2022年底前完成出租房、员工集体宿舍和合用场所复查整治。</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加强自建房消防安全管理。</w:t>
      </w:r>
      <w:r>
        <w:rPr>
          <w:rFonts w:hint="eastAsia" w:ascii="仿宋" w:hAnsi="仿宋" w:eastAsia="仿宋" w:cs="仿宋"/>
          <w:sz w:val="32"/>
          <w:szCs w:val="32"/>
        </w:rPr>
        <w:t>推动各级政府将自建房消防安全管理作为社会综合治理的重要内容，完善“政府、部门、社区”三级消防安全监管模式，按照大、中、小三个层面进一步实施政府包辖区、职能部门包行业系统、社区街道包点线的“三级包干管理”责任体系，划定网格，明确网格消防安全第一责任人，实施派单式管理。组织宣传组、社区消防宣传大使、街道工作人员、乡镇（街道）网格员以及社区（村）网格员对自建房开展大排查，对排查发现问题由指挥部统一派单至行业主管部门、乡镇、街道、社区进行整改，消除安全隐患，实现隐患闭环销号。</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加大乡村火灾隐患治理力度。</w:t>
      </w:r>
      <w:r>
        <w:rPr>
          <w:rFonts w:hint="eastAsia" w:ascii="仿宋" w:hAnsi="仿宋" w:eastAsia="仿宋" w:cs="仿宋"/>
          <w:sz w:val="32"/>
          <w:szCs w:val="32"/>
        </w:rPr>
        <w:t>加强对乡镇工业园、特色小镇、旅游民宿、小微企业、直播平台、用作经营的农村自建房等乡村新兴产业消防安全评估和管理，集中治理消防管理责任不落实、消防设施不足、消防培训不到位等突出问题。各地区结合乡村房改、水改、电改、灶改、路改等工作，有计划地改造防火间距不足、木结构建筑集中连片的村庄，加快乡村电气线路、炉灶等用火用电安全改造升级，有效降低火灾风险。</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持续推进重点乡镇（街道）消防安全治理。</w:t>
      </w:r>
      <w:r>
        <w:rPr>
          <w:rFonts w:hint="eastAsia" w:ascii="仿宋" w:hAnsi="仿宋" w:eastAsia="仿宋" w:cs="仿宋"/>
          <w:sz w:val="32"/>
          <w:szCs w:val="32"/>
        </w:rPr>
        <w:t>确定县重点乡镇（街道），落实消防安全管理组织和人员，将消防安全纳入基层治理“四个平台”建设，加强保障，完善制度，建强基础，强化管理，抓好宣传，做好群众性消防工作。2024年，重点乡镇（街道）消防环境得到进一步改善。</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开展油气输送、储存场所初期应急处置能力建设。</w:t>
      </w:r>
      <w:r>
        <w:rPr>
          <w:rFonts w:hint="eastAsia" w:ascii="仿宋" w:hAnsi="仿宋" w:eastAsia="仿宋" w:cs="仿宋"/>
          <w:sz w:val="32"/>
          <w:szCs w:val="32"/>
        </w:rPr>
        <w:t>强化各辖区输气（油）管道、储气（油）场所的消防设施和应急处置能力建设。对辖区企业单位开展调查评估，确定油气输送、储存场所目标，推进目标场所的消防设施配置建设。将消防安全制度的落实、初期灾害事故的处置工作纳入重要建设内容，为目标场所提供技术指导。企业单位要以有效处置初期灾情为目标，加强应急处置能力建设，配齐人员和装备，定期开展应急处置训练演练，提升目标场所的消防设施硬件建设水平，强化企业单位初期灾情的应急处置能力。</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outlineLvl w:val="1"/>
        <w:rPr>
          <w:rFonts w:hint="eastAsia" w:ascii="仿宋" w:hAnsi="仿宋" w:eastAsia="仿宋" w:cs="仿宋"/>
          <w:sz w:val="32"/>
          <w:szCs w:val="32"/>
        </w:rPr>
      </w:pPr>
      <w:bookmarkStart w:id="12" w:name="_Toc1186496047"/>
      <w:r>
        <w:rPr>
          <w:rFonts w:hint="eastAsia" w:ascii="仿宋" w:hAnsi="仿宋" w:eastAsia="仿宋" w:cs="仿宋"/>
          <w:sz w:val="32"/>
          <w:szCs w:val="32"/>
        </w:rPr>
        <w:t>（三）落实消防标准管理体系</w:t>
      </w:r>
      <w:bookmarkEnd w:id="12"/>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开展文物建筑消防安全专项整治。</w:t>
      </w:r>
      <w:r>
        <w:rPr>
          <w:rFonts w:hint="eastAsia" w:ascii="仿宋" w:hAnsi="仿宋" w:eastAsia="仿宋" w:cs="仿宋"/>
          <w:sz w:val="32"/>
          <w:szCs w:val="32"/>
        </w:rPr>
        <w:t>针对保德县域，严格落实《山西省文物建筑消防安全管理规定》、《古建筑消防管理规则》以及《文物建筑防火设计导则（试行）》，实行预防为主、防消结合的方针。就各文物保护单位中木结构或砖木结构的文物建筑，开展消防安全专项整治，重点排查电气线路及设备隐患、生产生活用火、违规燃香烧纸、易燃易爆物品管理不善及安全管理松懈；逐步建立文物建筑消防安全“一库一图一清单”。2023年，全县文物建筑火灾防控水平进一步提升。</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开展电力系统和电气领域消防安全排查整治。</w:t>
      </w:r>
      <w:r>
        <w:rPr>
          <w:rFonts w:hint="eastAsia" w:ascii="仿宋" w:hAnsi="仿宋" w:eastAsia="仿宋" w:cs="仿宋"/>
          <w:sz w:val="32"/>
          <w:szCs w:val="32"/>
        </w:rPr>
        <w:t>继续深化电气火灾综合治理工作，根据职责分工强化监管，把好源头质量关。逐年对高危单位、重点单位、应列未列单位和不放心单位开展电气检测，并依据检测结果落实整改措施。开展电力企业电气设备消防安全排查整治，加强电气设备运行维护，加强人员安全培训、考核和管理工作，稳步提升火灾防控能力。开展电缆隧道、综合管廊等新型供电设施消防技术的探索和研究，持续完善应急处置预案，组织开展灭火救援联合演练，全面提升应急处置能力。</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pacing w:val="6"/>
          <w:sz w:val="32"/>
          <w:szCs w:val="32"/>
        </w:rPr>
      </w:pPr>
      <w:r>
        <w:rPr>
          <w:rFonts w:hint="eastAsia" w:ascii="仿宋" w:hAnsi="仿宋" w:eastAsia="仿宋" w:cs="仿宋"/>
          <w:b/>
          <w:bCs/>
          <w:sz w:val="32"/>
          <w:szCs w:val="32"/>
        </w:rPr>
        <w:t>推进重点行业消防安全标准化管理。</w:t>
      </w:r>
      <w:r>
        <w:rPr>
          <w:rFonts w:hint="eastAsia" w:ascii="仿宋" w:hAnsi="仿宋" w:eastAsia="仿宋" w:cs="仿宋"/>
          <w:sz w:val="32"/>
          <w:szCs w:val="32"/>
        </w:rPr>
        <w:t>教育、民政、文化和旅游、卫生健康、宗教、文物等重点行业部门，建立完善行业系统消防安全管理规定，健全与消防救援机构分析评估、定期会商、联合执法等工作机制，推广“三自主两公开一承诺”做法，</w:t>
      </w:r>
      <w:r>
        <w:rPr>
          <w:rFonts w:hint="eastAsia" w:ascii="仿宋" w:hAnsi="仿宋" w:eastAsia="仿宋" w:cs="仿宋"/>
          <w:spacing w:val="6"/>
          <w:sz w:val="32"/>
          <w:szCs w:val="32"/>
        </w:rPr>
        <w:t>组织行业单位开展消防安全标准化管理。2022年，有效落实行业标准化管理。积极推进化工、木业、电子和输气（油）管线等火灾危险性较大的行业企业安全生产和消防安全标准化管理。</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加强消防法制化建设。</w:t>
      </w:r>
      <w:r>
        <w:rPr>
          <w:rFonts w:hint="eastAsia" w:ascii="仿宋" w:hAnsi="仿宋" w:eastAsia="仿宋" w:cs="仿宋"/>
          <w:sz w:val="32"/>
          <w:szCs w:val="32"/>
        </w:rPr>
        <w:t>发挥党建引领、统筹各方的作用，从优化法律资源配置、办好自己的事入手，全面加强法制人才队伍建设。</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完善消防监督管理标准化建设。</w:t>
      </w:r>
      <w:r>
        <w:rPr>
          <w:rFonts w:hint="eastAsia" w:ascii="仿宋" w:hAnsi="仿宋" w:eastAsia="仿宋" w:cs="仿宋"/>
          <w:sz w:val="32"/>
          <w:szCs w:val="32"/>
        </w:rPr>
        <w:t>全面落实“双随机、一公开”监督管理要求，将消防安全重点单位、一般社会单位、消防技术服务机构等领域全面纳入“双随机”抽查事项。落实《消防行业信用评价实施办法》、《山西省消防安全领域信用管理暂行办法》以及《忻州市消防安全信用管理实施办法》（试行）、《忻州市消防安全领域守信联合激励和失信联合惩戒制度》，运用消防行业信用综合监管平台，推动单位落实自主管理，根据信用等级实施差异化监管。落实消防安全守信激励和失信惩戒办法，明确消防安全严重失信行为认定标准，将存在性质恶劣、情节严重、社会危害较大的消防安全违法行为和久拖不改重大火灾隐患的市场主体，纳入失信“黑名单”，探索在市场准入、项目审批、土地供应、融资授信、工程招投标、政府资金支持等方面依法实施联合惩戒。</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outlineLvl w:val="1"/>
        <w:rPr>
          <w:rFonts w:hint="eastAsia" w:ascii="仿宋" w:hAnsi="仿宋" w:eastAsia="仿宋" w:cs="仿宋"/>
          <w:sz w:val="32"/>
          <w:szCs w:val="32"/>
        </w:rPr>
      </w:pPr>
      <w:bookmarkStart w:id="13" w:name="_Toc1107000255"/>
      <w:r>
        <w:rPr>
          <w:rFonts w:hint="eastAsia" w:ascii="仿宋" w:hAnsi="仿宋" w:eastAsia="仿宋" w:cs="仿宋"/>
          <w:sz w:val="32"/>
          <w:szCs w:val="32"/>
        </w:rPr>
        <w:t>（四）优化消防公共设施体系</w:t>
      </w:r>
      <w:bookmarkEnd w:id="13"/>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b/>
          <w:bCs/>
          <w:color w:val="FF0000"/>
          <w:sz w:val="32"/>
          <w:szCs w:val="32"/>
        </w:rPr>
      </w:pPr>
      <w:r>
        <w:rPr>
          <w:rFonts w:hint="eastAsia" w:ascii="仿宋" w:hAnsi="仿宋" w:eastAsia="仿宋" w:cs="仿宋"/>
          <w:b/>
          <w:bCs/>
          <w:sz w:val="32"/>
          <w:szCs w:val="32"/>
        </w:rPr>
        <w:t>优化消防设施空间布局。</w:t>
      </w:r>
      <w:r>
        <w:rPr>
          <w:rFonts w:hint="eastAsia" w:ascii="仿宋" w:hAnsi="仿宋" w:eastAsia="仿宋" w:cs="仿宋"/>
          <w:sz w:val="32"/>
          <w:szCs w:val="32"/>
        </w:rPr>
        <w:t>树立规划先行理念，科学修编和实施消防专项规划，推动城乡消防规划纳入“多规合一”。将公共消防设施和消防训练、消防科普教育基地等纳入控制性详细规划和国土空间规划“一张图”，有效保障规划落地。结合乡村振兴战略，着力解决消防安全布局不合理、消防基础设施建设</w:t>
      </w:r>
      <w:r>
        <w:rPr>
          <w:rFonts w:hint="eastAsia" w:ascii="仿宋" w:hAnsi="仿宋" w:eastAsia="仿宋" w:cs="仿宋"/>
          <w:color w:val="auto"/>
          <w:sz w:val="32"/>
          <w:szCs w:val="32"/>
        </w:rPr>
        <w:t>滞后等问题，大力改善农村消防安全条件。到2025年，县、重点镇100%完成城乡消防规划修编，建制镇100%编制城乡消防规划或在国土空间规划中明确消防队（站）用地布局、消防供水建设等要求。</w:t>
      </w:r>
    </w:p>
    <w:p>
      <w:pPr>
        <w:pStyle w:val="17"/>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推进消防救援站建设。</w:t>
      </w:r>
      <w:r>
        <w:rPr>
          <w:rFonts w:hint="eastAsia" w:ascii="仿宋" w:hAnsi="仿宋" w:eastAsia="仿宋" w:cs="仿宋"/>
          <w:color w:val="auto"/>
          <w:sz w:val="32"/>
          <w:szCs w:val="32"/>
        </w:rPr>
        <w:t>根据各地城市总体规划和发展，同步规划和建设消防救援站。落实《城市消防站建设标准》，按照“建精区域特勤站、建强城区中心站、建足辖区普通站、建密镇街卫星站、建实战勤保障站”的建站原则，采取新建、改建、配建、租赁等方式增加一批站点，提高消防救援覆盖密度，实现“一站多点，多站多点”。优先在商业区、老旧城区、历史街区和消防专业力量不足区域建设小型消防站或卫星站，切实打通末端火灾防控“最后一公里”。加强特定区域战勤保障站和地震、化工、水上等专业消防站建设。推动</w:t>
      </w:r>
      <w:r>
        <w:rPr>
          <w:rFonts w:hint="eastAsia" w:ascii="仿宋" w:hAnsi="仿宋" w:eastAsia="仿宋" w:cs="仿宋"/>
          <w:color w:val="auto"/>
          <w:sz w:val="32"/>
          <w:szCs w:val="32"/>
          <w:lang w:eastAsia="zh-CN"/>
        </w:rPr>
        <w:t>本县</w:t>
      </w:r>
      <w:r>
        <w:rPr>
          <w:rFonts w:hint="eastAsia" w:ascii="仿宋" w:hAnsi="仿宋" w:eastAsia="仿宋" w:cs="仿宋"/>
          <w:color w:val="auto"/>
          <w:sz w:val="32"/>
          <w:szCs w:val="32"/>
        </w:rPr>
        <w:t>新建、改建满足100人跨区域增援临时驻扎和避灾安置场所要求的消防救援站，有条件的设置直升机临时起降场地。</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加强消防水源建设。</w:t>
      </w:r>
      <w:r>
        <w:rPr>
          <w:rFonts w:hint="eastAsia" w:ascii="仿宋" w:hAnsi="仿宋" w:eastAsia="仿宋" w:cs="仿宋"/>
          <w:sz w:val="32"/>
          <w:szCs w:val="32"/>
        </w:rPr>
        <w:t>加强消防部门与发展改革、规划、城建、水务等部门的协调合作，推动市政消火栓与道路、给水管道等同步规划建设，完善市政消防水源经费保障和维护保养机制。明晰市政消火栓监督管理、补建、日常维护保养等工作职责，完善消火栓监管机制。利用江河、湖泊、水库等天然水源建设取水码头和引水设施，建设市政管网和天然水源相结合的消防水源体系，保障消防用水。加强智慧水务建设，推动智慧消火栓建设，实现实战实用。到2025年，按照标准补齐市政消防水源短板，完好率达到100%。</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加强消防通道建设。</w:t>
      </w:r>
      <w:r>
        <w:rPr>
          <w:rFonts w:hint="eastAsia" w:ascii="仿宋" w:hAnsi="仿宋" w:eastAsia="仿宋" w:cs="仿宋"/>
          <w:sz w:val="32"/>
          <w:szCs w:val="32"/>
        </w:rPr>
        <w:t>实施打通消防“生命通道”工程，加强源头管控，在建设工程消防设计审查验收过程中，严格督促建设、设计、施工等单位落实消防车通道、登高操作场地、消防救援口的标识设计、施划工作。通过技术改造等方式对城市道路限高、街道（公园）隔离装置等障碍设施进行处理，确保紧急情况下消防车通行。推动城市建设及更新改造过程中按标准建设符合道路、防火设计相关规划、标准要求的消防车通道。加强消防通道综合执法联动管理，强化法治和机制保障，探索非接触式、智能化执法，构建协同监管体系，推动从单项监管转向综合协同监管，提升监管综合效能。</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outlineLvl w:val="1"/>
        <w:rPr>
          <w:rFonts w:hint="eastAsia" w:ascii="仿宋" w:hAnsi="仿宋" w:eastAsia="仿宋" w:cs="仿宋"/>
          <w:sz w:val="32"/>
          <w:szCs w:val="32"/>
        </w:rPr>
      </w:pPr>
      <w:bookmarkStart w:id="14" w:name="_Toc1130548793"/>
      <w:r>
        <w:rPr>
          <w:rFonts w:hint="eastAsia" w:ascii="仿宋" w:hAnsi="仿宋" w:eastAsia="仿宋" w:cs="仿宋"/>
          <w:sz w:val="32"/>
          <w:szCs w:val="32"/>
        </w:rPr>
        <w:t>（五）强化消防救援力量体系</w:t>
      </w:r>
      <w:bookmarkEnd w:id="14"/>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系统构建消防救援队伍力量格局。</w:t>
      </w:r>
      <w:r>
        <w:rPr>
          <w:rFonts w:hint="eastAsia" w:ascii="仿宋" w:hAnsi="仿宋" w:eastAsia="仿宋" w:cs="仿宋"/>
          <w:sz w:val="32"/>
          <w:szCs w:val="32"/>
        </w:rPr>
        <w:t>优化消防救援力量布局和作战编成，建设一批市级和区域的拳头力量，提高综合救援能力。完善专业救援队伍体系，健全规模火灾处置编队、复杂灾害救援攻坚队等特种灾害专业救援队。推动大应急救援力量建设，科学规划站点布局，编制跨区域增援预案，借助社会优势资源逐步组建山岳、地震、水域救援等专业队伍，强化国家队和社会救援队伍的团队协作意识。</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完善灭火与应急救援调度指挥。</w:t>
      </w:r>
      <w:r>
        <w:rPr>
          <w:rFonts w:hint="eastAsia" w:ascii="仿宋" w:hAnsi="仿宋" w:eastAsia="仿宋" w:cs="仿宋"/>
          <w:sz w:val="32"/>
          <w:szCs w:val="32"/>
        </w:rPr>
        <w:t>强化灾害现场应急指挥部建设，组建地（市）较大灾害应急现场指挥部。围绕“一部六组”职能架构，坚持“编队化处置、模块化调集、扁平化指挥、协同化保障”的原则，构建复盘、推演、实战为一体的训演新模式，突出作战处置一短三快、作战指挥职能辅助、作战保障优势互补三大特点，进一步理顺指挥机制、优化指挥体系，发挥指挥作用。建立灭火救援框架下的综合应急救援力量协同响应、会商研判、资源共享和信息互通机制，规范联合和属地调度指挥制度，将政府专职、志愿消防队伍、微型消防站和社会救援力量纳入统一调度指挥管理，完善分级响应措施，明确政府专职消防队和微型消防站联勤调度、响应、指挥、补偿措施。出台指挥中心建设规范，推动我县指挥中心和通信室提档升级，配齐配强指挥中心岗位人员。推动智能接处警和智能指挥系统建设，构建综合应急救援智能调度指挥大平台。</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b/>
          <w:bCs/>
          <w:sz w:val="32"/>
          <w:szCs w:val="32"/>
        </w:rPr>
      </w:pP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bCs/>
          <w:sz w:val="32"/>
          <w:szCs w:val="32"/>
        </w:rPr>
        <w:t>大力发展多种形式消防队伍。</w:t>
      </w:r>
      <w:r>
        <w:rPr>
          <w:rFonts w:hint="eastAsia" w:ascii="仿宋" w:hAnsi="仿宋" w:eastAsia="仿宋" w:cs="仿宋"/>
          <w:sz w:val="32"/>
          <w:szCs w:val="32"/>
        </w:rPr>
        <w:t>推动城市消防救援站保护范围之外的乡镇、街道按标准建立专职消防队或志愿消防队，全面推行“一队三员”（灭火战斗员、防火巡查员、消防宣传员）模式，夯实基层消防力量。城镇社区、消防安全重点单位按标准建立微型消防站，打造“5分钟消防圈”。依法应当建立专职消防队的企事业单位建立专职消防队，配备消防车辆、器材装备和人员。常住人口超过1000人的行政村、自然村按相关规定建立志愿消防队。鼓励支持社会救援力量发展、培育和壮大防火灭火救援的社会化、企业化主体，增强消防工作的社会合力。全面推进政府专职消防队单独编队执勤，指导有条件的地方落实政府专职消防队纳入公益类事业单位，解决队长、指导员事业编制或享受事业人员同等待遇。按照《城市消防站建设标准（建标152—2017）》、《山西省专职消防队伍建设管理办法》（山西省人民政府令第294号），征招政府专职消防员。“十四五”期间</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招录</w:t>
      </w:r>
      <w:r>
        <w:rPr>
          <w:rFonts w:hint="eastAsia" w:ascii="仿宋" w:hAnsi="仿宋" w:eastAsia="仿宋" w:cs="仿宋"/>
          <w:color w:val="auto"/>
          <w:sz w:val="32"/>
          <w:szCs w:val="32"/>
        </w:rPr>
        <w:t>政府专职消防</w:t>
      </w:r>
      <w:r>
        <w:rPr>
          <w:rFonts w:hint="eastAsia" w:ascii="仿宋" w:hAnsi="仿宋" w:eastAsia="仿宋" w:cs="仿宋"/>
          <w:color w:val="auto"/>
          <w:sz w:val="32"/>
          <w:szCs w:val="32"/>
          <w:lang w:eastAsia="zh-CN"/>
        </w:rPr>
        <w:t>队</w:t>
      </w:r>
      <w:r>
        <w:rPr>
          <w:rFonts w:hint="eastAsia" w:ascii="仿宋" w:hAnsi="仿宋" w:eastAsia="仿宋" w:cs="仿宋"/>
          <w:color w:val="auto"/>
          <w:sz w:val="32"/>
          <w:szCs w:val="32"/>
        </w:rPr>
        <w:t>员</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人，消防文员</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人，并根据职能变化及时调整补充</w:t>
      </w:r>
      <w:r>
        <w:rPr>
          <w:rFonts w:hint="eastAsia" w:ascii="仿宋" w:hAnsi="仿宋" w:eastAsia="仿宋" w:cs="仿宋"/>
          <w:color w:val="auto"/>
          <w:sz w:val="32"/>
          <w:szCs w:val="32"/>
          <w:lang w:eastAsia="zh-CN"/>
        </w:rPr>
        <w:t>；</w:t>
      </w:r>
      <w:r>
        <w:rPr>
          <w:rFonts w:hint="eastAsia" w:ascii="仿宋" w:hAnsi="仿宋" w:eastAsia="仿宋" w:cs="仿宋"/>
          <w:b w:val="0"/>
          <w:bCs w:val="0"/>
          <w:color w:val="auto"/>
          <w:sz w:val="32"/>
          <w:szCs w:val="32"/>
          <w:lang w:eastAsia="zh-CN"/>
        </w:rPr>
        <w:t>进一步强化“企地共建”，充分发挥我县桥头镇政府专职消防队伍熟悉辖区情况、布点就近靠前的优势，根据临近区域扑救火灾的需要，及时调动指挥消防专职消防队参与火灾扑救工作；夯实乡镇专职消防队伍业务技能基础，优化联勤联调联战运行机制，全面提高应急救援专业队伍共同作战处置灾害事故的综合能力。</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outlineLvl w:val="1"/>
        <w:rPr>
          <w:rFonts w:hint="eastAsia" w:ascii="仿宋" w:hAnsi="仿宋" w:eastAsia="仿宋" w:cs="仿宋"/>
          <w:sz w:val="32"/>
          <w:szCs w:val="32"/>
        </w:rPr>
      </w:pPr>
      <w:bookmarkStart w:id="15" w:name="_Toc1198636025"/>
      <w:r>
        <w:rPr>
          <w:rFonts w:hint="eastAsia" w:ascii="仿宋" w:hAnsi="仿宋" w:eastAsia="仿宋" w:cs="仿宋"/>
          <w:sz w:val="32"/>
          <w:szCs w:val="32"/>
        </w:rPr>
        <w:t>（六）提升消防救援保障体系</w:t>
      </w:r>
      <w:bookmarkEnd w:id="15"/>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优化主战常用装备结构。</w:t>
      </w:r>
      <w:r>
        <w:rPr>
          <w:rFonts w:hint="eastAsia" w:ascii="仿宋" w:hAnsi="仿宋" w:eastAsia="仿宋" w:cs="仿宋"/>
          <w:sz w:val="32"/>
          <w:szCs w:val="32"/>
        </w:rPr>
        <w:t>开展装备建设评估论证，推动各地装备物资达标、升级换代和统型建设，提升通用化、系列化、专业化、数字化水平。提高具备专业功能的专勤消防车、战勤保障消防车和适应复杂地形区域的消防车辆配备比例，按需配备消防摩托车、航空器、机器人、舟艇、特种救援车辆等。强化地震、空勤、水域、山岳、交通、危险化学品、核生化等特种防护装备配备。</w:t>
      </w:r>
      <w:r>
        <w:rPr>
          <w:rFonts w:hint="eastAsia" w:ascii="仿宋" w:hAnsi="仿宋" w:eastAsia="仿宋" w:cs="仿宋"/>
          <w:color w:val="000000"/>
          <w:sz w:val="32"/>
          <w:szCs w:val="32"/>
        </w:rPr>
        <w:t>到2025年，灭火类与其它类别消防车比例基本达到1∶1。</w:t>
      </w:r>
      <w:r>
        <w:rPr>
          <w:rFonts w:hint="eastAsia" w:ascii="仿宋" w:hAnsi="仿宋" w:eastAsia="仿宋" w:cs="仿宋"/>
          <w:sz w:val="32"/>
          <w:szCs w:val="32"/>
        </w:rPr>
        <w:t>消防员防护装备达到国际先进水平，实现个性化定制，专业化、轻量化、集成化、数字化应急救援装备满足“全灾种、大应急”任务需求，形成“功能齐全、性能先进、体系配套、高效适用”的现代消防救援装备体系。</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针对全县部分旧</w:t>
      </w:r>
      <w:r>
        <w:rPr>
          <w:rFonts w:hint="eastAsia" w:ascii="仿宋" w:hAnsi="仿宋" w:eastAsia="仿宋" w:cs="仿宋"/>
          <w:color w:val="auto"/>
          <w:sz w:val="32"/>
          <w:szCs w:val="32"/>
        </w:rPr>
        <w:t>城区</w:t>
      </w:r>
      <w:r>
        <w:rPr>
          <w:rFonts w:hint="eastAsia" w:ascii="仿宋" w:hAnsi="仿宋" w:eastAsia="仿宋" w:cs="仿宋"/>
          <w:color w:val="auto"/>
          <w:sz w:val="32"/>
          <w:szCs w:val="32"/>
          <w:lang w:eastAsia="zh-CN"/>
        </w:rPr>
        <w:t>、社区、居民住宅小区地理环境、道路狭隘、人口集中等现状，应结合实际情况配置电瓶</w:t>
      </w:r>
      <w:r>
        <w:rPr>
          <w:rFonts w:hint="eastAsia" w:ascii="仿宋" w:hAnsi="仿宋" w:eastAsia="仿宋" w:cs="仿宋"/>
          <w:color w:val="auto"/>
          <w:sz w:val="32"/>
          <w:szCs w:val="32"/>
        </w:rPr>
        <w:t>消防车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用于</w:t>
      </w:r>
      <w:r>
        <w:rPr>
          <w:rFonts w:hint="eastAsia" w:ascii="仿宋" w:hAnsi="仿宋" w:eastAsia="仿宋" w:cs="仿宋"/>
          <w:color w:val="auto"/>
          <w:sz w:val="32"/>
          <w:szCs w:val="32"/>
          <w:lang w:eastAsia="zh-CN"/>
        </w:rPr>
        <w:t>解决受道路限制，大型</w:t>
      </w:r>
      <w:r>
        <w:rPr>
          <w:rFonts w:hint="eastAsia" w:ascii="仿宋" w:hAnsi="仿宋" w:eastAsia="仿宋" w:cs="仿宋"/>
          <w:color w:val="auto"/>
          <w:sz w:val="32"/>
          <w:szCs w:val="32"/>
        </w:rPr>
        <w:t>消防车</w:t>
      </w:r>
      <w:r>
        <w:rPr>
          <w:rFonts w:hint="eastAsia" w:ascii="仿宋" w:hAnsi="仿宋" w:eastAsia="仿宋" w:cs="仿宋"/>
          <w:color w:val="auto"/>
          <w:sz w:val="32"/>
          <w:szCs w:val="32"/>
          <w:lang w:eastAsia="zh-CN"/>
        </w:rPr>
        <w:t>辆无法靠近第一时间</w:t>
      </w:r>
      <w:r>
        <w:rPr>
          <w:rFonts w:hint="eastAsia" w:ascii="仿宋" w:hAnsi="仿宋" w:eastAsia="仿宋" w:cs="仿宋"/>
          <w:color w:val="auto"/>
          <w:sz w:val="32"/>
          <w:szCs w:val="32"/>
        </w:rPr>
        <w:t>处置</w:t>
      </w:r>
      <w:r>
        <w:rPr>
          <w:rFonts w:hint="eastAsia" w:ascii="仿宋" w:hAnsi="仿宋" w:eastAsia="仿宋" w:cs="仿宋"/>
          <w:color w:val="auto"/>
          <w:sz w:val="32"/>
          <w:szCs w:val="32"/>
          <w:lang w:eastAsia="zh-CN"/>
        </w:rPr>
        <w:t>的问题，</w:t>
      </w:r>
      <w:r>
        <w:rPr>
          <w:rFonts w:hint="eastAsia" w:ascii="仿宋" w:hAnsi="仿宋" w:eastAsia="仿宋" w:cs="仿宋"/>
          <w:color w:val="auto"/>
          <w:sz w:val="32"/>
          <w:szCs w:val="32"/>
        </w:rPr>
        <w:t>保障最大程度处置初期火灾。</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强化特种攻坚装备配备。</w:t>
      </w:r>
      <w:r>
        <w:rPr>
          <w:rFonts w:hint="eastAsia" w:ascii="仿宋" w:hAnsi="仿宋" w:eastAsia="仿宋" w:cs="仿宋"/>
          <w:sz w:val="32"/>
          <w:szCs w:val="32"/>
        </w:rPr>
        <w:t>结合我县火灾隐患和灾害事故类型特点，配齐配强高层、地下、大跨度、石化、森林等特殊火灾扑救和地震、泥石流、旱涝、雨雪冰冻等自然灾害应对的特种攻坚装备，满足特殊区域、极端环境、复杂条件、长久处置需求。按需配备处置公共卫生事件和社会安全事件的装备物资。加快列装多功能消防机器人、攻坚灭火机器人、危险作业机器人、重载无人机、无人船艇、水下机器人、通信装备等智能无人化装备，形成水陆空立体无人救援装备体系。探索应用有毒气体远程探测、水下综合探测、远程高速建模、单兵可穿戴动力等高新技术装备配备。加大洗消类、侦检类、输转类、照明类、旱涝类、保障类等器材物资配备。</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加强火灾调查装备建设。</w:t>
      </w:r>
      <w:r>
        <w:rPr>
          <w:rFonts w:hint="eastAsia" w:ascii="仿宋" w:hAnsi="仿宋" w:eastAsia="仿宋" w:cs="仿宋"/>
          <w:sz w:val="32"/>
          <w:szCs w:val="32"/>
        </w:rPr>
        <w:t>贯彻落实《山西省消防救援机构火灾调查模块化装备配备标准（试行）》，加强保德县火灾调查装备建设，提升火灾调查技术水平，推动保德县火灾调查工作适应新时代发展需求。到2024年底，保德县消防救援大队完成火灾调查模块化装备配备工作。结合火调岗位大练兵活动，及时组织开展新购装备的应用培训，确保火调岗位人员全部参训，达到懂原理、懂性能、会使用、会维护的效果，同时要严格按照固定资产管理有关规定做好装备日常管理，确保完整好用。注重火灾调查模块化装备在实际工作中的应用，建立模块化装备使用台账，提高装备使用率，切实发挥其技术支撑作用，不断提高保德县火灾事故调查水平。</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提升装备物资管理能力。</w:t>
      </w:r>
      <w:r>
        <w:rPr>
          <w:rFonts w:hint="eastAsia" w:ascii="仿宋" w:hAnsi="仿宋" w:eastAsia="仿宋" w:cs="仿宋"/>
          <w:sz w:val="32"/>
          <w:szCs w:val="32"/>
        </w:rPr>
        <w:t>提升装备物资全要素、全寿命、数字化管理水平，建成基于数字标签、无人系统和可视化终端技术的装备物资管理平台。推广应用装备远程保障技术，加强消防车辆、工程机械、无人系统等仿真训练系统的运用。探索建立高新技术装备物资新购试用、实战效能测试评估、第三方验收检测等装备物资管理制度。加强装备人才队伍建设，重点培养基层一线用装备、懂装备、会培训、能创新、强管理的装备专业骨干人才。</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提高立体多元战勤保障能力。</w:t>
      </w:r>
      <w:r>
        <w:rPr>
          <w:rFonts w:hint="eastAsia" w:ascii="仿宋" w:hAnsi="仿宋" w:eastAsia="仿宋" w:cs="仿宋"/>
          <w:sz w:val="32"/>
          <w:szCs w:val="32"/>
        </w:rPr>
        <w:t>贯彻落实《山西省“十四五”应急管理体系和本质安全能力建设规划》和《消防救援队伍应急装备物资保障体系建设纲要》，构建全要素、全链条、立体化的战勤保障体系，推进县级、乡镇街道级战勤保障消防站建设。新建升级应急物资储备库，提升跨区域、成建制任务的遂行保障能力。完善战勤保障数字平台建设，提升储备标准化、包装模块化、装卸机械化、管理数字化水平。综合运用社会力量和自我保障两种方式，健全航空、高铁、公路、水陆等人员物资运送联动机制，建立适应现代应急救灾需求的力量投送模式。建立“一组八岗”（指挥调度、帐篷保障、物资运输、供电供液油料保障、生活保障、卫勤保障、技术保障、政工宣传）的战勤保障组织指挥机制。</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outlineLvl w:val="1"/>
        <w:rPr>
          <w:rFonts w:hint="eastAsia" w:ascii="仿宋" w:hAnsi="仿宋" w:eastAsia="仿宋" w:cs="仿宋"/>
          <w:sz w:val="32"/>
          <w:szCs w:val="32"/>
        </w:rPr>
      </w:pPr>
      <w:bookmarkStart w:id="16" w:name="_Toc1436314606"/>
      <w:r>
        <w:rPr>
          <w:rFonts w:hint="eastAsia" w:ascii="仿宋" w:hAnsi="仿宋" w:eastAsia="仿宋" w:cs="仿宋"/>
          <w:sz w:val="32"/>
          <w:szCs w:val="32"/>
        </w:rPr>
        <w:t>（七）推进数字智慧支撑体系</w:t>
      </w:r>
      <w:bookmarkEnd w:id="16"/>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推进“智慧消防”建设。</w:t>
      </w:r>
      <w:r>
        <w:rPr>
          <w:rFonts w:hint="eastAsia" w:ascii="仿宋" w:hAnsi="仿宋" w:eastAsia="仿宋" w:cs="仿宋"/>
          <w:sz w:val="32"/>
          <w:szCs w:val="32"/>
        </w:rPr>
        <w:t>主动融入政府数字化改革大局，大力推进大数据、人工智能、物联网等新技术与消防工作融合应用，有序开展消防安全风险防控重点项目建设。整合监督管理、历史火灾等内部信息，打通其他部门单位的网络和信息屏障，实现信息互联共享。全面推广应用“智慧用电”、物联传感、温度传感、火灾烟雾监测、水压监测、电气火灾监控、视频监控等感知和监测设备。鼓励行业部门、社会单位主动探索信息化、智能化消防安全监管手段。全县100%建成消防物联网监控系统和高空视频监控系统，建成火灾监测预警预报平台，实现对火灾高风险场所、高风险区域的动态监测、风险评估、智能分析和精准治理。</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推进信息化基础建设。</w:t>
      </w:r>
      <w:r>
        <w:rPr>
          <w:rFonts w:hint="eastAsia" w:ascii="仿宋" w:hAnsi="仿宋" w:eastAsia="仿宋" w:cs="仿宋"/>
          <w:sz w:val="32"/>
          <w:szCs w:val="32"/>
        </w:rPr>
        <w:t>结合政府数字化转型，深入共享数据资源，打通信息孤岛，归集统合数据，为大数据深度分析、一张图指挥提供保障。基于人工智能的视频流分析技术，实现城市高点智能监控、灭火救援车辆“一路护航”和人车安全行为管控。推进信息技术应用创新工程，根据政府统一部署，分批次更换相关设备。构建信息安全监管机制，强化运维队伍建设。加强安全隔离、病毒防范、网络监管和等保测评，完善信息安全应急处置预案，形成完备的信息安全监管体系。</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加强灭火与应急通信体系建设。</w:t>
      </w:r>
      <w:r>
        <w:rPr>
          <w:rFonts w:hint="eastAsia" w:ascii="仿宋" w:hAnsi="仿宋" w:eastAsia="仿宋" w:cs="仿宋"/>
          <w:sz w:val="32"/>
          <w:szCs w:val="32"/>
        </w:rPr>
        <w:t>推动全县消防指挥信息网、电子政务外网建设升级。按照应急救援现场指挥部建设要求，保德县大队配备应急通信前突车。根据5G网络建设情况，适时推动装备4G向5G模式升级。探索应用新型融合通信装备，补齐洪涝、低温、雨雪冰冻等自然灾害应急通信保障装备。组建“轻骑兵”前突通信侦察小组，按标准配齐装备。围绕无人机实景指挥和管训平台，建立形成飞行训练和应急实景指挥标准，开展无人机和测绘专业人员培育工作。推动与政府相关部门、电信运营商和社会专业单位的“一键响应”“一键护航”应急通信保障协作机制。</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outlineLvl w:val="1"/>
        <w:rPr>
          <w:rFonts w:hint="eastAsia" w:ascii="仿宋" w:hAnsi="仿宋" w:eastAsia="仿宋" w:cs="仿宋"/>
          <w:sz w:val="32"/>
          <w:szCs w:val="32"/>
        </w:rPr>
      </w:pPr>
      <w:bookmarkStart w:id="17" w:name="_Toc786495202"/>
      <w:r>
        <w:rPr>
          <w:rFonts w:hint="eastAsia" w:ascii="仿宋" w:hAnsi="仿宋" w:eastAsia="仿宋" w:cs="仿宋"/>
          <w:sz w:val="32"/>
          <w:szCs w:val="32"/>
        </w:rPr>
        <w:t>（八）打造消防救援队伍体系</w:t>
      </w:r>
      <w:bookmarkEnd w:id="17"/>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强化队伍正规化建设。</w:t>
      </w:r>
      <w:r>
        <w:rPr>
          <w:rFonts w:hint="eastAsia" w:ascii="仿宋" w:hAnsi="仿宋" w:eastAsia="仿宋" w:cs="仿宋"/>
          <w:sz w:val="32"/>
          <w:szCs w:val="32"/>
        </w:rPr>
        <w:t>加强消防救援队伍理想信念、职业使命和光荣传统教育，始终把政治建设摆在首位，牢固树立“四个意识”，切实增强“四个自信”，坚决做到“两个维护”，纵深推进全面从严治党，推动“清廉消防”全面建设，始终做到对党忠诚、纪律严明、赴汤蹈火、竭诚为民。坚持纪律队伍建设标准，实行24小时驻勤备战，严格教育、严格训练、严格管理、严格要求，始终保持正规的执勤、训练、工作和生活秩序。</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pacing w:val="-6"/>
          <w:sz w:val="32"/>
          <w:szCs w:val="32"/>
        </w:rPr>
      </w:pPr>
      <w:r>
        <w:rPr>
          <w:rFonts w:hint="eastAsia" w:ascii="仿宋" w:hAnsi="仿宋" w:eastAsia="仿宋" w:cs="仿宋"/>
          <w:b/>
          <w:bCs/>
          <w:sz w:val="32"/>
          <w:szCs w:val="32"/>
        </w:rPr>
        <w:t>优化人才队伍建设。</w:t>
      </w:r>
      <w:r>
        <w:rPr>
          <w:rFonts w:hint="eastAsia" w:ascii="仿宋" w:hAnsi="仿宋" w:eastAsia="仿宋" w:cs="仿宋"/>
          <w:sz w:val="32"/>
          <w:szCs w:val="32"/>
        </w:rPr>
        <w:t>建成与新时代消防救援事业相适应，结构合理、素质精良、充满活力的新型高素质消防救援专业人才队伍。努力推动将消防救援队伍干部纳入各级党政领导干部选拔任用人选范围，纳入县开展的优秀年轻干部综合比选人选，纳入各地组织部门开展的日常轮训、培训、挂职锻炼范</w:t>
      </w:r>
      <w:r>
        <w:rPr>
          <w:rFonts w:hint="eastAsia" w:ascii="仿宋" w:hAnsi="仿宋" w:eastAsia="仿宋" w:cs="仿宋"/>
          <w:spacing w:val="-6"/>
          <w:sz w:val="32"/>
          <w:szCs w:val="32"/>
        </w:rPr>
        <w:t>围。符合条件的干部，可以在应急管理系统转岗，也可以有计划地交流到其他系统工作。发挥社会资源优势，建立健全消防救援人员在职教育制度和培训机制。推动各级组织、人力社保部门支持消防救援队伍加强专业人才建设，将消防救援专业人才纳入人才队伍建设整体规划，符合条件的可享受相应人才待遇。</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pacing w:val="-6"/>
          <w:sz w:val="32"/>
          <w:szCs w:val="32"/>
        </w:rPr>
      </w:pPr>
      <w:r>
        <w:rPr>
          <w:rFonts w:hint="eastAsia" w:ascii="仿宋" w:hAnsi="仿宋" w:eastAsia="仿宋" w:cs="仿宋"/>
          <w:b/>
          <w:bCs/>
          <w:sz w:val="32"/>
          <w:szCs w:val="32"/>
        </w:rPr>
        <w:t>增</w:t>
      </w:r>
      <w:r>
        <w:rPr>
          <w:rFonts w:hint="eastAsia" w:ascii="仿宋" w:hAnsi="仿宋" w:eastAsia="仿宋" w:cs="仿宋"/>
          <w:b/>
          <w:bCs/>
          <w:spacing w:val="-6"/>
          <w:sz w:val="32"/>
          <w:szCs w:val="32"/>
        </w:rPr>
        <w:t>强消防救援职业荣誉。</w:t>
      </w:r>
      <w:r>
        <w:rPr>
          <w:rFonts w:hint="eastAsia" w:ascii="仿宋" w:hAnsi="仿宋" w:eastAsia="仿宋" w:cs="仿宋"/>
          <w:spacing w:val="-6"/>
          <w:sz w:val="32"/>
          <w:szCs w:val="32"/>
        </w:rPr>
        <w:t>立足消防救援高负荷、高压力、高风险职业特点，建立与职业特点相适应的我县消防救援队伍职业荣誉体系，提升职业荣誉感和吸引力。落实党委政府每年结合春节、119消防日等重大节日和重大活动，走访慰问消防救援队伍和人员制度，举办有关重大纪念庆典活动时，邀请消防功模代表参加。将消防救援队伍纳入宣传部、共青团、妇联、工会等地方表彰奖励体系，为消防救援人员家庭颁发“消防员之家”门牌，为新入队和退出（不含辞退、开除）的消防救援人员举行迎送仪式。</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加大社会优待政策支持。</w:t>
      </w:r>
      <w:r>
        <w:rPr>
          <w:rFonts w:hint="eastAsia" w:ascii="仿宋" w:hAnsi="仿宋" w:eastAsia="仿宋" w:cs="仿宋"/>
          <w:sz w:val="32"/>
          <w:szCs w:val="32"/>
        </w:rPr>
        <w:t>持续推进完善消防救援队伍职业保障政策，保障消防救援人员在家属随调和落户、子女入学、交通出行、看病就医、参观游览等方面的优先优待权益。招录入职的大学生，享受优先选拔使用、学费补偿代偿、考学升学优惠、就业安置扶持等政策。入职满2年的政府专职消防队员参照消防救援队伍优待标准，享受社会保险、伤残抚恤、职业健康、交通出行、参观游览等社会优待政策。退出国家综合性消防救援队伍的消防救援人员，享受就业培训扶持、自主创业税费优惠等优待政策。</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outlineLvl w:val="1"/>
        <w:rPr>
          <w:rFonts w:hint="eastAsia" w:ascii="仿宋" w:hAnsi="仿宋" w:eastAsia="仿宋" w:cs="仿宋"/>
          <w:sz w:val="32"/>
          <w:szCs w:val="32"/>
        </w:rPr>
      </w:pPr>
      <w:bookmarkStart w:id="18" w:name="_Toc1187857558"/>
      <w:r>
        <w:rPr>
          <w:rFonts w:hint="eastAsia" w:ascii="仿宋" w:hAnsi="仿宋" w:eastAsia="仿宋" w:cs="仿宋"/>
          <w:sz w:val="32"/>
          <w:szCs w:val="32"/>
        </w:rPr>
        <w:t>（九）构建消防安全宣传体系</w:t>
      </w:r>
      <w:bookmarkEnd w:id="18"/>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持续完善宣传教育机制。</w:t>
      </w:r>
      <w:r>
        <w:rPr>
          <w:rFonts w:hint="eastAsia" w:ascii="仿宋" w:hAnsi="仿宋" w:eastAsia="仿宋" w:cs="仿宋"/>
          <w:sz w:val="32"/>
          <w:szCs w:val="32"/>
        </w:rPr>
        <w:t>继续将消防安全教育纳入各级平安建设考核内容。以“五进”为抓手，推动构建“全民消防”格局，将消防安全教育纳入社会主义精神文明建设、普法教育、职业技能培训内容。与宣传、教育、民宗、民政、文旅、卫健、文物等重点行业部门建立联动机制，指导行业系统经常性开展宣传教育。推动消防安全宣传教育工作融入基层综合治理体系，网格员定期开展消防宣传教育活动。</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不断拓展宣传教育阵地。</w:t>
      </w:r>
      <w:r>
        <w:rPr>
          <w:rFonts w:hint="eastAsia" w:ascii="仿宋" w:hAnsi="仿宋" w:eastAsia="仿宋" w:cs="仿宋"/>
          <w:sz w:val="32"/>
          <w:szCs w:val="32"/>
        </w:rPr>
        <w:t>充分建好用好忻州消防全媒体中心，固化传统媒体阵地，加强新媒体阵地运营，实现深度融合，制作消防宣传片、宣传海报、微信小程序等多种形式宣传产品，向目标人群精准投放。充分利用好媒体平台，大力开展典型案例警示和隐患曝光。继续加大体验式宣传力度，通过宣传体验馆和消防站开放，提升消防安全宣传质效。2023年底前，县本级应至少建成并开放1处县级应急消防教育基地。2025年前完成全部乡镇示范体验室提档升级建设任务。</w:t>
      </w:r>
    </w:p>
    <w:p>
      <w:pPr>
        <w:keepNext w:val="0"/>
        <w:keepLines w:val="0"/>
        <w:pageBreakBefore w:val="0"/>
        <w:kinsoku/>
        <w:wordWrap/>
        <w:overflowPunct/>
        <w:topLinePunct w:val="0"/>
        <w:bidi w:val="0"/>
        <w:adjustRightInd w:val="0"/>
        <w:snapToGrid w:val="0"/>
        <w:spacing w:line="360" w:lineRule="auto"/>
        <w:ind w:firstLine="643"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开展消防安全素质提升工程。</w:t>
      </w:r>
      <w:r>
        <w:rPr>
          <w:rFonts w:hint="eastAsia" w:ascii="仿宋" w:hAnsi="仿宋" w:eastAsia="仿宋" w:cs="仿宋"/>
          <w:sz w:val="32"/>
          <w:szCs w:val="32"/>
        </w:rPr>
        <w:t>以火灾风险较大的企业、人员密集场所、出租房等为重点，针对忻州村（居）民住宅小火亡人特点，突出抓好农村、家庭和社区消防宣传。积极发动消防志愿者、社区消防宣传大使、网格员等群体，针对不同人群特点分类实施精准宣传，重点加大进城务工人员、消防安全岗位人员及老人、儿童等弱势群体的宣传教育覆盖。消防救援站每周至少一次开放以及消防专职宣传人员（宣传车）外出宣传不少于2次。开展消防安全技能“实训实操”工程，推动群众掌握消防设施器材使用方法和逃生自救技能，争取每年培训不少于2000人，力争</w:t>
      </w:r>
      <w:r>
        <w:rPr>
          <w:rFonts w:hint="eastAsia" w:ascii="仿宋" w:hAnsi="仿宋" w:eastAsia="仿宋" w:cs="仿宋"/>
          <w:color w:val="auto"/>
          <w:sz w:val="32"/>
          <w:szCs w:val="32"/>
        </w:rPr>
        <w:t>五年参与总人数不少于1.5万。持续壮大消防志愿者队伍，打造具有保德特色的消防志愿服务队伍，力争到2025年全县消防志愿者不少于</w:t>
      </w:r>
      <w:r>
        <w:rPr>
          <w:rFonts w:hint="eastAsia" w:ascii="仿宋" w:hAnsi="仿宋" w:eastAsia="仿宋" w:cs="仿宋"/>
          <w:color w:val="auto"/>
          <w:sz w:val="32"/>
          <w:szCs w:val="32"/>
          <w:lang w:val="en-US" w:eastAsia="zh-CN"/>
        </w:rPr>
        <w:t>35</w:t>
      </w:r>
      <w:r>
        <w:rPr>
          <w:rFonts w:hint="eastAsia" w:ascii="仿宋" w:hAnsi="仿宋" w:eastAsia="仿宋" w:cs="仿宋"/>
          <w:color w:val="auto"/>
          <w:sz w:val="32"/>
          <w:szCs w:val="32"/>
        </w:rPr>
        <w:t>00人。</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outlineLvl w:val="0"/>
        <w:rPr>
          <w:rFonts w:hint="eastAsia" w:ascii="仿宋" w:hAnsi="仿宋" w:eastAsia="仿宋" w:cs="仿宋"/>
          <w:sz w:val="32"/>
          <w:szCs w:val="32"/>
        </w:rPr>
      </w:pPr>
      <w:bookmarkStart w:id="19" w:name="_Toc250189797"/>
      <w:r>
        <w:rPr>
          <w:rFonts w:hint="eastAsia" w:ascii="仿宋" w:hAnsi="仿宋" w:eastAsia="仿宋" w:cs="仿宋"/>
          <w:sz w:val="32"/>
          <w:szCs w:val="32"/>
        </w:rPr>
        <w:t>五、重大项目</w:t>
      </w:r>
      <w:bookmarkEnd w:id="19"/>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重点项目是推动我县消防事业发展的强大支撑及动力，公共消防设施是火灾防控工作的硬件基础，无论是从“十三五”规划完成情况、公共消防设施的现状，还是未来经济社会发展对公共消防设施的保障能力要求看，公共消防设施仍然是消防事业发展的短板和难点，因此，将消防装备配置项目作为本次“十四五”规划的重中之重。</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sz w:val="32"/>
          <w:szCs w:val="32"/>
        </w:rPr>
        <w:t>全县更新、新增车辆共2辆（2023年更新、新增车辆1辆，2024年更新</w:t>
      </w:r>
      <w:r>
        <w:rPr>
          <w:rFonts w:hint="eastAsia" w:ascii="仿宋" w:hAnsi="仿宋" w:eastAsia="仿宋" w:cs="仿宋"/>
          <w:color w:val="000000"/>
          <w:sz w:val="32"/>
          <w:szCs w:val="32"/>
        </w:rPr>
        <w:t>、新增车辆1辆）。</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表3：消防装备配置项目一览表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3775"/>
        <w:gridCol w:w="3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3" w:hRule="atLeast"/>
        </w:trPr>
        <w:tc>
          <w:tcPr>
            <w:tcW w:w="1536"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区域</w:t>
            </w:r>
          </w:p>
        </w:tc>
        <w:tc>
          <w:tcPr>
            <w:tcW w:w="3775" w:type="dxa"/>
            <w:vAlign w:val="center"/>
          </w:tcPr>
          <w:p>
            <w:pPr>
              <w:keepNext w:val="0"/>
              <w:keepLines w:val="0"/>
              <w:pageBreakBefore w:val="0"/>
              <w:kinsoku/>
              <w:wordWrap/>
              <w:overflowPunct/>
              <w:topLinePunct w:val="0"/>
              <w:bidi w:val="0"/>
              <w:adjustRightInd w:val="0"/>
              <w:snapToGrid w:val="0"/>
              <w:spacing w:line="360" w:lineRule="auto"/>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更新、新增车辆数量</w:t>
            </w:r>
          </w:p>
        </w:tc>
        <w:tc>
          <w:tcPr>
            <w:tcW w:w="3631" w:type="dxa"/>
            <w:vAlign w:val="center"/>
          </w:tcPr>
          <w:p>
            <w:pPr>
              <w:keepNext w:val="0"/>
              <w:keepLines w:val="0"/>
              <w:pageBreakBefore w:val="0"/>
              <w:kinsoku/>
              <w:wordWrap/>
              <w:overflowPunct/>
              <w:topLinePunct w:val="0"/>
              <w:bidi w:val="0"/>
              <w:adjustRightInd w:val="0"/>
              <w:snapToGrid w:val="0"/>
              <w:spacing w:line="360" w:lineRule="auto"/>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更新时序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3" w:hRule="atLeast"/>
        </w:trPr>
        <w:tc>
          <w:tcPr>
            <w:tcW w:w="1536"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保德县</w:t>
            </w:r>
          </w:p>
        </w:tc>
        <w:tc>
          <w:tcPr>
            <w:tcW w:w="3775"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p>
        </w:tc>
        <w:tc>
          <w:tcPr>
            <w:tcW w:w="3631" w:type="dxa"/>
            <w:vAlign w:val="center"/>
          </w:tcPr>
          <w:p>
            <w:pPr>
              <w:keepNext w:val="0"/>
              <w:keepLines w:val="0"/>
              <w:pageBreakBefore w:val="0"/>
              <w:kinsoku/>
              <w:wordWrap/>
              <w:overflowPunct/>
              <w:topLinePunct w:val="0"/>
              <w:bidi w:val="0"/>
              <w:adjustRightInd w:val="0"/>
              <w:snapToGrid w:val="0"/>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2023年：1辆</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2024年：1辆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536"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sz w:val="32"/>
                <w:szCs w:val="32"/>
              </w:rPr>
            </w:pPr>
            <w:r>
              <w:rPr>
                <w:rFonts w:hint="eastAsia" w:ascii="仿宋" w:hAnsi="仿宋" w:eastAsia="仿宋" w:cs="仿宋"/>
                <w:sz w:val="32"/>
                <w:szCs w:val="32"/>
              </w:rPr>
              <w:t>合计</w:t>
            </w:r>
          </w:p>
        </w:tc>
        <w:tc>
          <w:tcPr>
            <w:tcW w:w="3775"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p>
        </w:tc>
        <w:tc>
          <w:tcPr>
            <w:tcW w:w="3631" w:type="dxa"/>
            <w:vAlign w:val="center"/>
          </w:tcPr>
          <w:p>
            <w:pPr>
              <w:keepNext w:val="0"/>
              <w:keepLines w:val="0"/>
              <w:pageBreakBefore w:val="0"/>
              <w:kinsoku/>
              <w:wordWrap/>
              <w:overflowPunct/>
              <w:topLinePunct w:val="0"/>
              <w:bidi w:val="0"/>
              <w:adjustRightInd w:val="0"/>
              <w:snapToGrid w:val="0"/>
              <w:spacing w:line="360" w:lineRule="auto"/>
              <w:ind w:firstLine="640" w:firstLineChars="200"/>
              <w:jc w:val="center"/>
              <w:textAlignment w:val="auto"/>
              <w:rPr>
                <w:rFonts w:hint="eastAsia" w:ascii="仿宋" w:hAnsi="仿宋" w:eastAsia="仿宋" w:cs="仿宋"/>
                <w:sz w:val="32"/>
                <w:szCs w:val="32"/>
              </w:rPr>
            </w:pPr>
          </w:p>
        </w:tc>
      </w:tr>
    </w:tbl>
    <w:p>
      <w:pPr>
        <w:keepNext w:val="0"/>
        <w:keepLines w:val="0"/>
        <w:pageBreakBefore w:val="0"/>
        <w:kinsoku/>
        <w:wordWrap/>
        <w:overflowPunct/>
        <w:topLinePunct w:val="0"/>
        <w:bidi w:val="0"/>
        <w:adjustRightInd w:val="0"/>
        <w:snapToGrid w:val="0"/>
        <w:spacing w:line="360" w:lineRule="auto"/>
        <w:ind w:firstLine="640" w:firstLineChars="200"/>
        <w:jc w:val="both"/>
        <w:textAlignment w:val="auto"/>
        <w:outlineLvl w:val="0"/>
        <w:rPr>
          <w:rFonts w:hint="eastAsia" w:ascii="黑体" w:hAnsi="黑体" w:eastAsia="黑体" w:cs="黑体"/>
          <w:sz w:val="32"/>
          <w:szCs w:val="32"/>
        </w:rPr>
      </w:pPr>
      <w:bookmarkStart w:id="20" w:name="_Toc722729836"/>
      <w:r>
        <w:rPr>
          <w:rFonts w:hint="eastAsia" w:ascii="黑体" w:hAnsi="黑体" w:eastAsia="黑体" w:cs="黑体"/>
          <w:sz w:val="32"/>
          <w:szCs w:val="32"/>
        </w:rPr>
        <w:t>六、保障措施</w:t>
      </w:r>
      <w:bookmarkEnd w:id="20"/>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outlineLvl w:val="1"/>
        <w:rPr>
          <w:rFonts w:hint="eastAsia" w:ascii="仿宋" w:hAnsi="仿宋" w:eastAsia="仿宋" w:cs="仿宋"/>
          <w:sz w:val="32"/>
          <w:szCs w:val="32"/>
        </w:rPr>
      </w:pPr>
      <w:bookmarkStart w:id="21" w:name="_Toc1628105307"/>
      <w:r>
        <w:rPr>
          <w:rFonts w:hint="eastAsia" w:ascii="仿宋" w:hAnsi="仿宋" w:eastAsia="仿宋" w:cs="仿宋"/>
          <w:sz w:val="32"/>
          <w:szCs w:val="32"/>
        </w:rPr>
        <w:t>（一）坚持政府主导</w:t>
      </w:r>
      <w:bookmarkEnd w:id="21"/>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要加强对消防工作的组织协调，把消防事业发展“十四五”规划纳入当地经济社会发展总体规划，综合布局建设方案，明确工作职责，细化任务分工。要健全规划实施报告制度、奖惩考评制度和责任追究制度，强化规划实施进度的动态监管，督促落实消防工作责任制，确保规划的有效实施。</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outlineLvl w:val="1"/>
        <w:rPr>
          <w:rFonts w:hint="eastAsia" w:ascii="仿宋" w:hAnsi="仿宋" w:eastAsia="仿宋" w:cs="仿宋"/>
          <w:sz w:val="32"/>
          <w:szCs w:val="32"/>
        </w:rPr>
      </w:pPr>
      <w:bookmarkStart w:id="22" w:name="_Toc1852585094"/>
      <w:r>
        <w:rPr>
          <w:rFonts w:hint="eastAsia" w:ascii="仿宋" w:hAnsi="仿宋" w:eastAsia="仿宋" w:cs="仿宋"/>
          <w:sz w:val="32"/>
          <w:szCs w:val="32"/>
        </w:rPr>
        <w:t>（二）加大财政投入</w:t>
      </w:r>
      <w:bookmarkEnd w:id="22"/>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坚持科学、统筹和可持续发展，严格规划实施，保证规划的严肃性和实施的连续性。坚持消防事业与经济建设和社会发展相同步原则，加大消防事业发展的经费投入，将重点项目纳入各级政府年度建设计划和政府预算安排，保证有计划、按步骤地实施和落实。</w:t>
      </w:r>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outlineLvl w:val="1"/>
        <w:rPr>
          <w:rFonts w:hint="eastAsia" w:ascii="仿宋" w:hAnsi="仿宋" w:eastAsia="仿宋" w:cs="仿宋"/>
          <w:sz w:val="32"/>
          <w:szCs w:val="32"/>
        </w:rPr>
      </w:pPr>
      <w:bookmarkStart w:id="23" w:name="_Toc327067991"/>
      <w:r>
        <w:rPr>
          <w:rFonts w:hint="eastAsia" w:ascii="仿宋" w:hAnsi="仿宋" w:eastAsia="仿宋" w:cs="仿宋"/>
          <w:sz w:val="32"/>
          <w:szCs w:val="32"/>
        </w:rPr>
        <w:t>（三）实施跟踪问效</w:t>
      </w:r>
      <w:bookmarkEnd w:id="23"/>
    </w:p>
    <w:p>
      <w:pPr>
        <w:keepNext w:val="0"/>
        <w:keepLines w:val="0"/>
        <w:pageBreakBefore w:val="0"/>
        <w:kinsoku/>
        <w:wordWrap/>
        <w:overflowPunct/>
        <w:topLinePunct w:val="0"/>
        <w:bidi w:val="0"/>
        <w:adjustRightInd w:val="0"/>
        <w:snapToGrid w:val="0"/>
        <w:spacing w:line="360" w:lineRule="auto"/>
        <w:ind w:firstLine="640" w:firstLineChars="200"/>
        <w:jc w:val="both"/>
        <w:textAlignment w:val="auto"/>
        <w:outlineLvl w:val="1"/>
        <w:rPr>
          <w:rFonts w:hint="eastAsia" w:ascii="仿宋" w:hAnsi="仿宋" w:eastAsia="仿宋" w:cs="仿宋"/>
          <w:sz w:val="32"/>
          <w:szCs w:val="32"/>
        </w:rPr>
      </w:pPr>
      <w:r>
        <w:rPr>
          <w:rFonts w:hint="eastAsia" w:ascii="仿宋" w:hAnsi="仿宋" w:eastAsia="仿宋" w:cs="仿宋"/>
          <w:sz w:val="32"/>
          <w:szCs w:val="32"/>
        </w:rPr>
        <w:t>要定期对规划实施情况进行评估，重大问题及时向上级政府报告。市级消防部门要会同有关部门加强对本规划实施情况的跟踪分析，督促落实各项工作和政策措施，于2023年和2025年对规划执行情况进行中期评估和终期考核，评估考核结果作为评价各级政府和各部门绩效的重要依据。对在涉及消防安全行政审批、公共消防设施建设、重大火灾隐患整改、消防力量发展等方面工作不力、失职渎职的，要依法追究有关责任人的责任。</w:t>
      </w:r>
    </w:p>
    <w:p>
      <w:pPr>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rPr>
          <w:rFonts w:hint="eastAsia" w:ascii="仿宋" w:hAnsi="仿宋" w:eastAsia="仿宋" w:cs="仿宋"/>
          <w:sz w:val="32"/>
          <w:szCs w:val="32"/>
        </w:rPr>
        <w:sectPr>
          <w:footerReference r:id="rId3" w:type="default"/>
          <w:footerReference r:id="rId4" w:type="even"/>
          <w:pgSz w:w="11906" w:h="16838"/>
          <w:pgMar w:top="2098" w:right="1588" w:bottom="1701" w:left="1588" w:header="851" w:footer="1134" w:gutter="0"/>
          <w:pgNumType w:fmt="numberInDash"/>
          <w:cols w:space="720" w:num="1"/>
          <w:docGrid w:type="lines" w:linePitch="435" w:charSpace="0"/>
        </w:sectPr>
      </w:pPr>
    </w:p>
    <w:p>
      <w:pPr>
        <w:keepNext w:val="0"/>
        <w:keepLines w:val="0"/>
        <w:pageBreakBefore w:val="0"/>
        <w:widowControl/>
        <w:tabs>
          <w:tab w:val="left" w:pos="10087"/>
        </w:tabs>
        <w:kinsoku/>
        <w:wordWrap/>
        <w:overflowPunct/>
        <w:topLinePunct w:val="0"/>
        <w:autoSpaceDE/>
        <w:autoSpaceDN/>
        <w:bidi w:val="0"/>
        <w:adjustRightInd w:val="0"/>
        <w:snapToGrid w:val="0"/>
        <w:spacing w:line="360" w:lineRule="auto"/>
        <w:jc w:val="both"/>
        <w:textAlignment w:val="auto"/>
        <w:outlineLvl w:val="0"/>
        <w:rPr>
          <w:rFonts w:eastAsia="Arial Unicode MS"/>
          <w:sz w:val="21"/>
          <w:szCs w:val="21"/>
        </w:rPr>
      </w:pPr>
      <w:bookmarkStart w:id="24" w:name="_Toc1854402814"/>
      <w:r>
        <w:rPr>
          <w:rFonts w:eastAsia="Arial Unicode MS"/>
          <w:sz w:val="21"/>
          <w:szCs w:val="21"/>
        </w:rPr>
        <w:t>附表1</w:t>
      </w:r>
      <w:bookmarkEnd w:id="24"/>
      <w:bookmarkStart w:id="25" w:name="_Toc1741232816"/>
    </w:p>
    <w:p>
      <w:pPr>
        <w:keepNext w:val="0"/>
        <w:keepLines w:val="0"/>
        <w:pageBreakBefore w:val="0"/>
        <w:widowControl/>
        <w:tabs>
          <w:tab w:val="left" w:pos="10087"/>
        </w:tabs>
        <w:kinsoku/>
        <w:wordWrap/>
        <w:overflowPunct/>
        <w:topLinePunct w:val="0"/>
        <w:autoSpaceDE/>
        <w:autoSpaceDN/>
        <w:bidi w:val="0"/>
        <w:adjustRightInd w:val="0"/>
        <w:snapToGrid w:val="0"/>
        <w:spacing w:line="360" w:lineRule="auto"/>
        <w:jc w:val="center"/>
        <w:textAlignment w:val="auto"/>
        <w:outlineLvl w:val="0"/>
        <w:rPr>
          <w:rFonts w:eastAsia="Arial Unicode MS"/>
          <w:sz w:val="44"/>
          <w:szCs w:val="44"/>
        </w:rPr>
      </w:pPr>
      <w:r>
        <w:rPr>
          <w:rFonts w:eastAsia="Arial Unicode MS"/>
          <w:sz w:val="44"/>
          <w:szCs w:val="44"/>
        </w:rPr>
        <w:t>“十四五”期间政府专职消防队员、消防文员征召计划表</w:t>
      </w:r>
      <w:bookmarkEnd w:id="25"/>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4"/>
        <w:gridCol w:w="2258"/>
        <w:gridCol w:w="7558"/>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4082"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eastAsia="黑体"/>
                <w:kern w:val="0"/>
                <w:sz w:val="24"/>
              </w:rPr>
            </w:pPr>
            <w:r>
              <w:rPr>
                <w:rFonts w:eastAsia="黑体"/>
                <w:kern w:val="0"/>
                <w:sz w:val="24"/>
              </w:rPr>
              <mc:AlternateContent>
                <mc:Choice Requires="wps">
                  <w:drawing>
                    <wp:anchor distT="0" distB="0" distL="0" distR="0" simplePos="0" relativeHeight="251659264" behindDoc="0" locked="0" layoutInCell="1" allowOverlap="1">
                      <wp:simplePos x="0" y="0"/>
                      <wp:positionH relativeFrom="column">
                        <wp:posOffset>-48260</wp:posOffset>
                      </wp:positionH>
                      <wp:positionV relativeFrom="paragraph">
                        <wp:posOffset>33020</wp:posOffset>
                      </wp:positionV>
                      <wp:extent cx="2584450" cy="487680"/>
                      <wp:effectExtent l="635" t="4445" r="5715" b="22225"/>
                      <wp:wrapNone/>
                      <wp:docPr id="1026" name="直接连接符 17"/>
                      <wp:cNvGraphicFramePr/>
                      <a:graphic xmlns:a="http://schemas.openxmlformats.org/drawingml/2006/main">
                        <a:graphicData uri="http://schemas.microsoft.com/office/word/2010/wordprocessingShape">
                          <wps:wsp>
                            <wps:cNvCnPr/>
                            <wps:spPr>
                              <a:xfrm>
                                <a:off x="0" y="0"/>
                                <a:ext cx="2584450" cy="487680"/>
                              </a:xfrm>
                              <a:prstGeom prst="line">
                                <a:avLst/>
                              </a:prstGeom>
                              <a:ln w="6350" cap="flat" cmpd="sng">
                                <a:solidFill>
                                  <a:srgbClr val="000000"/>
                                </a:solidFill>
                                <a:prstDash val="solid"/>
                                <a:round/>
                                <a:headEnd type="none" w="med" len="med"/>
                                <a:tailEnd type="none" w="med" len="med"/>
                              </a:ln>
                            </wps:spPr>
                            <wps:bodyPr/>
                          </wps:wsp>
                        </a:graphicData>
                      </a:graphic>
                    </wp:anchor>
                  </w:drawing>
                </mc:Choice>
                <mc:Fallback>
                  <w:pict>
                    <v:line id="直接连接符 17" o:spid="_x0000_s1026" o:spt="20" style="position:absolute;left:0pt;margin-left:-3.8pt;margin-top:2.6pt;height:38.4pt;width:203.5pt;z-index:251659264;mso-width-relative:page;mso-height-relative:page;" filled="f" stroked="t" coordsize="21600,21600" o:gfxdata="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Ju5btUAAAAHAQAADwAAAAAAAAABACAAAAAiAAAAZHJzL2Rvd25yZXYueG1sUEsB&#10;AhQAFAAAAAgAh07iQFUtYoT4AQAA6wMAAA4AAAAAAAAAAQAgAAAAJAEAAGRycy9lMm9Eb2MueG1s&#10;UEsFBgAAAAAGAAYAWQEAAI4FAAAAAA==&#10;">
                      <v:fill on="f" focussize="0,0"/>
                      <v:stroke weight="0.5pt" color="#000000" joinstyle="round"/>
                      <v:imagedata o:title=""/>
                      <o:lock v:ext="edit" aspectratio="f"/>
                    </v:line>
                  </w:pict>
                </mc:Fallback>
              </mc:AlternateContent>
            </w:r>
            <w:r>
              <w:rPr>
                <w:rFonts w:eastAsia="黑体"/>
                <w:kern w:val="0"/>
                <w:sz w:val="24"/>
              </w:rPr>
              <mc:AlternateContent>
                <mc:Choice Requires="wps">
                  <w:drawing>
                    <wp:anchor distT="0" distB="0" distL="0" distR="0" simplePos="0" relativeHeight="251659264" behindDoc="0" locked="0" layoutInCell="1" allowOverlap="1">
                      <wp:simplePos x="0" y="0"/>
                      <wp:positionH relativeFrom="column">
                        <wp:posOffset>-63500</wp:posOffset>
                      </wp:positionH>
                      <wp:positionV relativeFrom="paragraph">
                        <wp:posOffset>33020</wp:posOffset>
                      </wp:positionV>
                      <wp:extent cx="1029970" cy="685800"/>
                      <wp:effectExtent l="2540" t="3810" r="15240" b="15240"/>
                      <wp:wrapNone/>
                      <wp:docPr id="1027" name="直接连接符 16"/>
                      <wp:cNvGraphicFramePr/>
                      <a:graphic xmlns:a="http://schemas.openxmlformats.org/drawingml/2006/main">
                        <a:graphicData uri="http://schemas.microsoft.com/office/word/2010/wordprocessingShape">
                          <wps:wsp>
                            <wps:cNvCnPr/>
                            <wps:spPr>
                              <a:xfrm>
                                <a:off x="0" y="0"/>
                                <a:ext cx="1029970" cy="685800"/>
                              </a:xfrm>
                              <a:prstGeom prst="line">
                                <a:avLst/>
                              </a:prstGeom>
                              <a:ln w="6350" cap="flat" cmpd="sng">
                                <a:solidFill>
                                  <a:srgbClr val="000000"/>
                                </a:solidFill>
                                <a:prstDash val="solid"/>
                                <a:round/>
                                <a:headEnd type="none" w="med" len="med"/>
                                <a:tailEnd type="none" w="med" len="med"/>
                              </a:ln>
                            </wps:spPr>
                            <wps:bodyPr/>
                          </wps:wsp>
                        </a:graphicData>
                      </a:graphic>
                    </wp:anchor>
                  </w:drawing>
                </mc:Choice>
                <mc:Fallback>
                  <w:pict>
                    <v:line id="直接连接符 16" o:spid="_x0000_s1026" o:spt="20" style="position:absolute;left:0pt;margin-left:-5pt;margin-top:2.6pt;height:54pt;width:81.1pt;z-index:251659264;mso-width-relative:page;mso-height-relative:page;" filled="f" stroked="t" coordsize="21600,21600" o:gfxdata="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4nLN9UAAAAJAQAADwAAAAAAAAABACAAAAAiAAAAZHJzL2Rvd25yZXYueG1sUEsB&#10;AhQAFAAAAAgAh07iQOf5fUf4AQAA6wMAAA4AAAAAAAAAAQAgAAAAJAEAAGRycy9lMm9Eb2MueG1s&#10;UEsFBgAAAAAGAAYAWQEAAI4FAAAAAA==&#10;">
                      <v:fill on="f" focussize="0,0"/>
                      <v:stroke weight="0.5pt" color="#000000" joinstyle="round"/>
                      <v:imagedata o:title=""/>
                      <o:lock v:ext="edit" aspectratio="f"/>
                    </v:line>
                  </w:pict>
                </mc:Fallback>
              </mc:AlternateContent>
            </w:r>
            <w:r>
              <w:rPr>
                <w:rFonts w:eastAsia="黑体"/>
                <w:kern w:val="0"/>
                <w:sz w:val="24"/>
              </w:rPr>
              <mc:AlternateContent>
                <mc:Choice Requires="wps">
                  <w:drawing>
                    <wp:anchor distT="0" distB="0" distL="0" distR="0" simplePos="0" relativeHeight="251659264" behindDoc="0" locked="0" layoutInCell="1" allowOverlap="1">
                      <wp:simplePos x="0" y="0"/>
                      <wp:positionH relativeFrom="column">
                        <wp:posOffset>-118110</wp:posOffset>
                      </wp:positionH>
                      <wp:positionV relativeFrom="paragraph">
                        <wp:posOffset>-4762500</wp:posOffset>
                      </wp:positionV>
                      <wp:extent cx="685800" cy="792480"/>
                      <wp:effectExtent l="3810" t="3175" r="15240" b="4445"/>
                      <wp:wrapNone/>
                      <wp:docPr id="1028" name="直接连接符 18"/>
                      <wp:cNvGraphicFramePr/>
                      <a:graphic xmlns:a="http://schemas.openxmlformats.org/drawingml/2006/main">
                        <a:graphicData uri="http://schemas.microsoft.com/office/word/2010/wordprocessingShape">
                          <wps:wsp>
                            <wps:cNvCnPr/>
                            <wps:spPr>
                              <a:xfrm>
                                <a:off x="0" y="0"/>
                                <a:ext cx="685800" cy="792479"/>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接连接符 18" o:spid="_x0000_s1026" o:spt="20" style="position:absolute;left:0pt;margin-left:-9.3pt;margin-top:-375pt;height:62.4pt;width:54pt;z-index:251659264;mso-width-relative:page;mso-height-relative:page;" filled="f" stroked="t" coordsize="21600,21600" o:gfxdata="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p1cdvaAAAADAEAAA8AAAAAAAAAAQAgAAAAIgAAAGRycy9kb3ducmV2Lnht&#10;bFBLAQIUABQAAAAIAIdO4kBvqmnV9wEAAOoDAAAOAAAAAAAAAAEAIAAAACkBAABkcnMvZTJvRG9j&#10;LnhtbFBLBQYAAAAABgAGAFkBAACSBQAAAAA=&#10;">
                      <v:fill on="f" focussize="0,0"/>
                      <v:stroke color="#000000" joinstyle="round"/>
                      <v:imagedata o:title=""/>
                      <o:lock v:ext="edit" aspectratio="f"/>
                    </v:line>
                  </w:pict>
                </mc:Fallback>
              </mc:AlternateContent>
            </w:r>
            <w:r>
              <w:rPr>
                <w:rFonts w:eastAsia="黑体"/>
                <w:kern w:val="0"/>
                <w:sz w:val="24"/>
              </w:rPr>
              <mc:AlternateContent>
                <mc:Choice Requires="wps">
                  <w:drawing>
                    <wp:anchor distT="0" distB="0" distL="0" distR="0" simplePos="0" relativeHeight="251659264" behindDoc="0" locked="0" layoutInCell="1" allowOverlap="1">
                      <wp:simplePos x="0" y="0"/>
                      <wp:positionH relativeFrom="column">
                        <wp:posOffset>-118110</wp:posOffset>
                      </wp:positionH>
                      <wp:positionV relativeFrom="paragraph">
                        <wp:posOffset>-4762500</wp:posOffset>
                      </wp:positionV>
                      <wp:extent cx="1714500" cy="792480"/>
                      <wp:effectExtent l="1905" t="4445" r="17145" b="22225"/>
                      <wp:wrapNone/>
                      <wp:docPr id="1029" name="直接连接符 15"/>
                      <wp:cNvGraphicFramePr/>
                      <a:graphic xmlns:a="http://schemas.openxmlformats.org/drawingml/2006/main">
                        <a:graphicData uri="http://schemas.microsoft.com/office/word/2010/wordprocessingShape">
                          <wps:wsp>
                            <wps:cNvCnPr/>
                            <wps:spPr>
                              <a:xfrm>
                                <a:off x="0" y="0"/>
                                <a:ext cx="1714500" cy="792479"/>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接连接符 15" o:spid="_x0000_s1026" o:spt="20" style="position:absolute;left:0pt;margin-left:-9.3pt;margin-top:-375pt;height:62.4pt;width:135pt;z-index:251659264;mso-width-relative:page;mso-height-relative:page;" filled="f" stroked="t" coordsize="21600,21600" o:gfxdata="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ZOuudsAAAANAQAADwAAAAAAAAABACAAAAAiAAAAZHJzL2Rvd25yZXYu&#10;eG1sUEsBAhQAFAAAAAgAh07iQAUWhTb4AQAA6wMAAA4AAAAAAAAAAQAgAAAAKgEAAGRycy9lMm9E&#10;b2MueG1sUEsFBgAAAAAGAAYAWQEAAJQFAAAAAA==&#10;">
                      <v:fill on="f" focussize="0,0"/>
                      <v:stroke color="#000000" joinstyle="round"/>
                      <v:imagedata o:title=""/>
                      <o:lock v:ext="edit" aspectratio="f"/>
                    </v:line>
                  </w:pict>
                </mc:Fallback>
              </mc:AlternateContent>
            </w:r>
            <w:r>
              <w:rPr>
                <w:rFonts w:eastAsia="黑体"/>
                <w:kern w:val="0"/>
                <w:sz w:val="24"/>
              </w:rPr>
              <w:t>单位</w:t>
            </w:r>
          </w:p>
          <w:p>
            <w:pPr>
              <w:widowControl/>
              <w:spacing w:line="340" w:lineRule="exact"/>
              <w:ind w:firstLine="720" w:firstLineChars="300"/>
              <w:rPr>
                <w:rFonts w:eastAsia="黑体"/>
                <w:kern w:val="0"/>
                <w:sz w:val="24"/>
              </w:rPr>
            </w:pPr>
            <w:r>
              <w:rPr>
                <w:rFonts w:eastAsia="黑体"/>
                <w:kern w:val="0"/>
                <w:sz w:val="24"/>
              </w:rPr>
              <w:t>类别</w:t>
            </w:r>
          </w:p>
          <w:p>
            <w:pPr>
              <w:widowControl/>
              <w:spacing w:line="340" w:lineRule="exact"/>
              <w:jc w:val="left"/>
              <w:rPr>
                <w:rFonts w:eastAsia="黑体"/>
                <w:kern w:val="0"/>
                <w:sz w:val="24"/>
              </w:rPr>
            </w:pPr>
            <w:r>
              <w:rPr>
                <w:rFonts w:eastAsia="黑体"/>
                <w:kern w:val="0"/>
                <w:sz w:val="24"/>
              </w:rPr>
              <w:t>时间</w:t>
            </w:r>
          </w:p>
        </w:tc>
        <w:tc>
          <w:tcPr>
            <w:tcW w:w="755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eastAsia="黑体"/>
                <w:kern w:val="0"/>
                <w:sz w:val="24"/>
              </w:rPr>
            </w:pPr>
            <w:r>
              <w:rPr>
                <w:rFonts w:eastAsia="黑体"/>
                <w:kern w:val="0"/>
                <w:sz w:val="24"/>
              </w:rPr>
              <w:t>保德县</w:t>
            </w:r>
          </w:p>
        </w:tc>
        <w:tc>
          <w:tcPr>
            <w:tcW w:w="179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eastAsia="黑体"/>
                <w:kern w:val="0"/>
                <w:sz w:val="24"/>
              </w:rPr>
            </w:pPr>
            <w:r>
              <w:rPr>
                <w:rFonts w:eastAsia="黑体"/>
                <w:kern w:val="0"/>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18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Cs w:val="21"/>
              </w:rPr>
            </w:pPr>
            <w:r>
              <w:rPr>
                <w:rFonts w:eastAsia="黑体"/>
                <w:kern w:val="0"/>
                <w:sz w:val="21"/>
                <w:szCs w:val="21"/>
              </w:rPr>
              <w:t>2021年</w:t>
            </w:r>
          </w:p>
        </w:tc>
        <w:tc>
          <w:tcPr>
            <w:tcW w:w="225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Cs w:val="21"/>
              </w:rPr>
            </w:pPr>
            <w:r>
              <w:rPr>
                <w:rFonts w:eastAsia="黑体"/>
                <w:kern w:val="0"/>
                <w:sz w:val="21"/>
                <w:szCs w:val="21"/>
              </w:rPr>
              <w:t>专职消防队</w:t>
            </w:r>
            <w:r>
              <w:rPr>
                <w:rFonts w:hint="eastAsia" w:eastAsia="黑体"/>
                <w:kern w:val="0"/>
                <w:sz w:val="21"/>
                <w:szCs w:val="21"/>
              </w:rPr>
              <w:t>员</w:t>
            </w:r>
            <w:r>
              <w:rPr>
                <w:rFonts w:eastAsia="黑体"/>
                <w:kern w:val="0"/>
                <w:sz w:val="21"/>
                <w:szCs w:val="21"/>
              </w:rPr>
              <w:t>员</w:t>
            </w:r>
          </w:p>
        </w:tc>
        <w:tc>
          <w:tcPr>
            <w:tcW w:w="75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
                <w:szCs w:val="21"/>
              </w:rPr>
            </w:pPr>
            <w:r>
              <w:rPr>
                <w:rFonts w:eastAsia="仿宋"/>
                <w:kern w:val="0"/>
                <w:sz w:val="21"/>
                <w:szCs w:val="21"/>
              </w:rPr>
              <w:t>0</w:t>
            </w:r>
          </w:p>
        </w:tc>
        <w:tc>
          <w:tcPr>
            <w:tcW w:w="17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
                <w:szCs w:val="21"/>
              </w:rPr>
            </w:pPr>
            <w:r>
              <w:rPr>
                <w:rFonts w:eastAsia="仿宋"/>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18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黑体"/>
                <w:szCs w:val="21"/>
              </w:rPr>
            </w:pPr>
          </w:p>
        </w:tc>
        <w:tc>
          <w:tcPr>
            <w:tcW w:w="2258" w:type="dxa"/>
            <w:tcBorders>
              <w:top w:val="single" w:color="auto" w:sz="4" w:space="0"/>
              <w:left w:val="single" w:color="auto" w:sz="4" w:space="0"/>
              <w:bottom w:val="single" w:color="auto" w:sz="4" w:space="0"/>
              <w:right w:val="single" w:color="auto" w:sz="4" w:space="0"/>
            </w:tcBorders>
            <w:shd w:val="clear" w:color="auto" w:fill="FDEADA"/>
            <w:vAlign w:val="center"/>
          </w:tcPr>
          <w:p>
            <w:pPr>
              <w:widowControl/>
              <w:jc w:val="center"/>
              <w:rPr>
                <w:rFonts w:eastAsia="黑体"/>
                <w:kern w:val="0"/>
                <w:szCs w:val="21"/>
              </w:rPr>
            </w:pPr>
            <w:r>
              <w:rPr>
                <w:rFonts w:eastAsia="黑体"/>
                <w:kern w:val="0"/>
                <w:sz w:val="21"/>
                <w:szCs w:val="21"/>
              </w:rPr>
              <w:t>消防文员</w:t>
            </w:r>
          </w:p>
        </w:tc>
        <w:tc>
          <w:tcPr>
            <w:tcW w:w="7558" w:type="dxa"/>
            <w:tcBorders>
              <w:top w:val="single" w:color="auto" w:sz="4" w:space="0"/>
              <w:left w:val="single" w:color="auto" w:sz="4" w:space="0"/>
              <w:bottom w:val="single" w:color="auto" w:sz="4" w:space="0"/>
              <w:right w:val="single" w:color="auto" w:sz="4" w:space="0"/>
            </w:tcBorders>
            <w:shd w:val="clear" w:color="auto" w:fill="FDEADA"/>
            <w:vAlign w:val="center"/>
          </w:tcPr>
          <w:p>
            <w:pPr>
              <w:widowControl/>
              <w:jc w:val="center"/>
              <w:textAlignment w:val="center"/>
              <w:rPr>
                <w:rFonts w:eastAsia="仿宋"/>
                <w:szCs w:val="21"/>
              </w:rPr>
            </w:pPr>
            <w:r>
              <w:rPr>
                <w:rFonts w:eastAsia="仿宋"/>
                <w:kern w:val="0"/>
                <w:sz w:val="21"/>
                <w:szCs w:val="21"/>
              </w:rPr>
              <w:t>0</w:t>
            </w:r>
          </w:p>
        </w:tc>
        <w:tc>
          <w:tcPr>
            <w:tcW w:w="1798" w:type="dxa"/>
            <w:tcBorders>
              <w:top w:val="single" w:color="auto" w:sz="4" w:space="0"/>
              <w:left w:val="single" w:color="auto" w:sz="4" w:space="0"/>
              <w:bottom w:val="single" w:color="auto" w:sz="4" w:space="0"/>
              <w:right w:val="single" w:color="auto" w:sz="4" w:space="0"/>
            </w:tcBorders>
            <w:shd w:val="clear" w:color="auto" w:fill="FDEADA"/>
            <w:vAlign w:val="center"/>
          </w:tcPr>
          <w:p>
            <w:pPr>
              <w:widowControl/>
              <w:jc w:val="center"/>
              <w:textAlignment w:val="center"/>
              <w:rPr>
                <w:rFonts w:eastAsia="仿宋"/>
                <w:szCs w:val="21"/>
              </w:rPr>
            </w:pPr>
            <w:r>
              <w:rPr>
                <w:rFonts w:eastAsia="仿宋"/>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18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Cs w:val="21"/>
              </w:rPr>
            </w:pPr>
            <w:r>
              <w:rPr>
                <w:rFonts w:eastAsia="黑体"/>
                <w:kern w:val="0"/>
                <w:sz w:val="21"/>
                <w:szCs w:val="21"/>
              </w:rPr>
              <w:t>2022年</w:t>
            </w:r>
          </w:p>
        </w:tc>
        <w:tc>
          <w:tcPr>
            <w:tcW w:w="225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Cs w:val="21"/>
              </w:rPr>
            </w:pPr>
            <w:r>
              <w:rPr>
                <w:rFonts w:eastAsia="黑体"/>
                <w:kern w:val="0"/>
                <w:sz w:val="21"/>
                <w:szCs w:val="21"/>
              </w:rPr>
              <w:t>专职消防队员</w:t>
            </w:r>
          </w:p>
        </w:tc>
        <w:tc>
          <w:tcPr>
            <w:tcW w:w="75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仿宋"/>
                <w:szCs w:val="21"/>
                <w:lang w:eastAsia="zh-CN"/>
              </w:rPr>
            </w:pPr>
            <w:r>
              <w:rPr>
                <w:rFonts w:hint="eastAsia" w:eastAsia="仿宋"/>
                <w:kern w:val="0"/>
                <w:sz w:val="21"/>
                <w:szCs w:val="21"/>
                <w:lang w:val="en-US" w:eastAsia="zh-CN"/>
              </w:rPr>
              <w:t>0</w:t>
            </w:r>
          </w:p>
        </w:tc>
        <w:tc>
          <w:tcPr>
            <w:tcW w:w="17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
                <w:kern w:val="0"/>
                <w:szCs w:val="21"/>
              </w:rPr>
            </w:pPr>
            <w:r>
              <w:rPr>
                <w:rFonts w:hint="eastAsia" w:eastAsia="仿宋"/>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18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黑体"/>
                <w:szCs w:val="21"/>
              </w:rPr>
            </w:pPr>
          </w:p>
        </w:tc>
        <w:tc>
          <w:tcPr>
            <w:tcW w:w="2258" w:type="dxa"/>
            <w:tcBorders>
              <w:top w:val="single" w:color="auto" w:sz="4" w:space="0"/>
              <w:left w:val="single" w:color="auto" w:sz="4" w:space="0"/>
              <w:bottom w:val="single" w:color="auto" w:sz="4" w:space="0"/>
              <w:right w:val="single" w:color="auto" w:sz="4" w:space="0"/>
            </w:tcBorders>
            <w:shd w:val="clear" w:color="auto" w:fill="FDEADA"/>
            <w:vAlign w:val="center"/>
          </w:tcPr>
          <w:p>
            <w:pPr>
              <w:widowControl/>
              <w:jc w:val="center"/>
              <w:rPr>
                <w:rFonts w:eastAsia="黑体"/>
                <w:kern w:val="0"/>
                <w:szCs w:val="21"/>
              </w:rPr>
            </w:pPr>
            <w:r>
              <w:rPr>
                <w:rFonts w:eastAsia="黑体"/>
                <w:kern w:val="0"/>
                <w:sz w:val="21"/>
                <w:szCs w:val="21"/>
              </w:rPr>
              <w:t>消防文员</w:t>
            </w:r>
          </w:p>
        </w:tc>
        <w:tc>
          <w:tcPr>
            <w:tcW w:w="7558" w:type="dxa"/>
            <w:tcBorders>
              <w:top w:val="single" w:color="auto" w:sz="4" w:space="0"/>
              <w:left w:val="single" w:color="auto" w:sz="4" w:space="0"/>
              <w:bottom w:val="single" w:color="auto" w:sz="4" w:space="0"/>
              <w:right w:val="single" w:color="auto" w:sz="4" w:space="0"/>
            </w:tcBorders>
            <w:shd w:val="clear" w:color="auto" w:fill="FDEADA"/>
            <w:vAlign w:val="center"/>
          </w:tcPr>
          <w:p>
            <w:pPr>
              <w:widowControl/>
              <w:jc w:val="center"/>
              <w:textAlignment w:val="center"/>
              <w:rPr>
                <w:rFonts w:hint="eastAsia" w:eastAsia="仿宋"/>
                <w:szCs w:val="21"/>
                <w:lang w:eastAsia="zh-CN"/>
              </w:rPr>
            </w:pPr>
            <w:r>
              <w:rPr>
                <w:rFonts w:hint="eastAsia" w:eastAsia="仿宋"/>
                <w:kern w:val="0"/>
                <w:sz w:val="21"/>
                <w:szCs w:val="21"/>
                <w:lang w:val="en-US" w:eastAsia="zh-CN"/>
              </w:rPr>
              <w:t>0</w:t>
            </w:r>
          </w:p>
        </w:tc>
        <w:tc>
          <w:tcPr>
            <w:tcW w:w="1798" w:type="dxa"/>
            <w:tcBorders>
              <w:top w:val="single" w:color="auto" w:sz="4" w:space="0"/>
              <w:left w:val="single" w:color="auto" w:sz="4" w:space="0"/>
              <w:bottom w:val="single" w:color="auto" w:sz="4" w:space="0"/>
              <w:right w:val="single" w:color="auto" w:sz="4" w:space="0"/>
            </w:tcBorders>
            <w:shd w:val="clear" w:color="auto" w:fill="FDEADA"/>
            <w:vAlign w:val="center"/>
          </w:tcPr>
          <w:p>
            <w:pPr>
              <w:widowControl/>
              <w:jc w:val="center"/>
              <w:textAlignment w:val="center"/>
              <w:rPr>
                <w:rFonts w:eastAsia="仿宋"/>
                <w:kern w:val="0"/>
                <w:szCs w:val="21"/>
              </w:rPr>
            </w:pPr>
            <w:r>
              <w:rPr>
                <w:rFonts w:hint="eastAsia" w:eastAsia="仿宋"/>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18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Cs w:val="21"/>
              </w:rPr>
            </w:pPr>
            <w:r>
              <w:rPr>
                <w:rFonts w:eastAsia="黑体"/>
                <w:kern w:val="0"/>
                <w:sz w:val="21"/>
                <w:szCs w:val="21"/>
              </w:rPr>
              <w:t>2023年</w:t>
            </w:r>
          </w:p>
        </w:tc>
        <w:tc>
          <w:tcPr>
            <w:tcW w:w="225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Cs w:val="21"/>
              </w:rPr>
            </w:pPr>
            <w:r>
              <w:rPr>
                <w:rFonts w:eastAsia="黑体"/>
                <w:kern w:val="0"/>
                <w:sz w:val="21"/>
                <w:szCs w:val="21"/>
              </w:rPr>
              <w:t>专职消防队员</w:t>
            </w:r>
          </w:p>
        </w:tc>
        <w:tc>
          <w:tcPr>
            <w:tcW w:w="75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eastAsia="仿宋"/>
                <w:szCs w:val="21"/>
                <w:lang w:val="en-US" w:eastAsia="zh-CN"/>
              </w:rPr>
            </w:pPr>
            <w:r>
              <w:rPr>
                <w:rFonts w:hint="default" w:eastAsia="仿宋"/>
                <w:szCs w:val="21"/>
                <w:lang w:val="en-US" w:eastAsia="zh-CN"/>
              </w:rPr>
              <w:t>15</w:t>
            </w:r>
          </w:p>
        </w:tc>
        <w:tc>
          <w:tcPr>
            <w:tcW w:w="17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
                <w:kern w:val="0"/>
                <w:szCs w:val="21"/>
              </w:rPr>
            </w:pPr>
            <w:r>
              <w:rPr>
                <w:rFonts w:hint="eastAsia" w:eastAsia="仿宋"/>
                <w:kern w:val="0"/>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18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黑体"/>
                <w:szCs w:val="21"/>
              </w:rPr>
            </w:pPr>
          </w:p>
        </w:tc>
        <w:tc>
          <w:tcPr>
            <w:tcW w:w="2258" w:type="dxa"/>
            <w:tcBorders>
              <w:top w:val="single" w:color="auto" w:sz="4" w:space="0"/>
              <w:left w:val="single" w:color="auto" w:sz="4" w:space="0"/>
              <w:bottom w:val="single" w:color="auto" w:sz="4" w:space="0"/>
              <w:right w:val="single" w:color="auto" w:sz="4" w:space="0"/>
            </w:tcBorders>
            <w:shd w:val="clear" w:color="auto" w:fill="FDEADA"/>
            <w:vAlign w:val="center"/>
          </w:tcPr>
          <w:p>
            <w:pPr>
              <w:widowControl/>
              <w:jc w:val="center"/>
              <w:rPr>
                <w:rFonts w:eastAsia="黑体"/>
                <w:kern w:val="0"/>
                <w:szCs w:val="21"/>
              </w:rPr>
            </w:pPr>
            <w:r>
              <w:rPr>
                <w:rFonts w:eastAsia="黑体"/>
                <w:kern w:val="0"/>
                <w:sz w:val="21"/>
                <w:szCs w:val="21"/>
              </w:rPr>
              <w:t>消防文员</w:t>
            </w:r>
          </w:p>
        </w:tc>
        <w:tc>
          <w:tcPr>
            <w:tcW w:w="7558" w:type="dxa"/>
            <w:tcBorders>
              <w:top w:val="single" w:color="auto" w:sz="4" w:space="0"/>
              <w:left w:val="single" w:color="auto" w:sz="4" w:space="0"/>
              <w:bottom w:val="single" w:color="auto" w:sz="4" w:space="0"/>
              <w:right w:val="single" w:color="auto" w:sz="4" w:space="0"/>
            </w:tcBorders>
            <w:shd w:val="clear" w:color="auto" w:fill="FDEADA"/>
            <w:vAlign w:val="center"/>
          </w:tcPr>
          <w:p>
            <w:pPr>
              <w:widowControl/>
              <w:jc w:val="center"/>
              <w:textAlignment w:val="center"/>
              <w:rPr>
                <w:rFonts w:eastAsia="仿宋"/>
                <w:szCs w:val="21"/>
              </w:rPr>
            </w:pPr>
            <w:r>
              <w:rPr>
                <w:rFonts w:eastAsia="仿宋"/>
                <w:kern w:val="0"/>
                <w:sz w:val="21"/>
                <w:szCs w:val="21"/>
              </w:rPr>
              <w:t>2</w:t>
            </w:r>
          </w:p>
        </w:tc>
        <w:tc>
          <w:tcPr>
            <w:tcW w:w="1798" w:type="dxa"/>
            <w:tcBorders>
              <w:top w:val="single" w:color="auto" w:sz="4" w:space="0"/>
              <w:left w:val="single" w:color="auto" w:sz="4" w:space="0"/>
              <w:bottom w:val="single" w:color="auto" w:sz="4" w:space="0"/>
              <w:right w:val="single" w:color="auto" w:sz="4" w:space="0"/>
            </w:tcBorders>
            <w:shd w:val="clear" w:color="auto" w:fill="FDEADA"/>
            <w:vAlign w:val="center"/>
          </w:tcPr>
          <w:p>
            <w:pPr>
              <w:widowControl/>
              <w:jc w:val="center"/>
              <w:textAlignment w:val="center"/>
              <w:rPr>
                <w:rFonts w:eastAsia="仿宋"/>
                <w:kern w:val="0"/>
                <w:szCs w:val="21"/>
              </w:rPr>
            </w:pPr>
            <w:r>
              <w:rPr>
                <w:rFonts w:eastAsia="仿宋"/>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18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Cs w:val="21"/>
              </w:rPr>
            </w:pPr>
            <w:r>
              <w:rPr>
                <w:rFonts w:eastAsia="黑体"/>
                <w:kern w:val="0"/>
                <w:sz w:val="21"/>
                <w:szCs w:val="21"/>
              </w:rPr>
              <w:t>2024年</w:t>
            </w:r>
          </w:p>
        </w:tc>
        <w:tc>
          <w:tcPr>
            <w:tcW w:w="225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Cs w:val="21"/>
              </w:rPr>
            </w:pPr>
            <w:r>
              <w:rPr>
                <w:rFonts w:eastAsia="黑体"/>
                <w:kern w:val="0"/>
                <w:sz w:val="21"/>
                <w:szCs w:val="21"/>
              </w:rPr>
              <w:t>专职消防队员</w:t>
            </w:r>
          </w:p>
        </w:tc>
        <w:tc>
          <w:tcPr>
            <w:tcW w:w="75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仿宋"/>
                <w:szCs w:val="21"/>
                <w:lang w:eastAsia="zh-CN"/>
              </w:rPr>
            </w:pPr>
            <w:r>
              <w:rPr>
                <w:rFonts w:hint="default" w:eastAsia="仿宋"/>
                <w:szCs w:val="21"/>
                <w:lang w:val="en-US" w:eastAsia="zh-CN"/>
              </w:rPr>
              <w:t>0</w:t>
            </w:r>
          </w:p>
        </w:tc>
        <w:tc>
          <w:tcPr>
            <w:tcW w:w="17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
                <w:kern w:val="0"/>
                <w:szCs w:val="21"/>
              </w:rPr>
            </w:pPr>
            <w:r>
              <w:rPr>
                <w:rFonts w:hint="eastAsia" w:eastAsia="仿宋"/>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18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黑体"/>
                <w:kern w:val="0"/>
                <w:szCs w:val="21"/>
              </w:rPr>
            </w:pPr>
          </w:p>
        </w:tc>
        <w:tc>
          <w:tcPr>
            <w:tcW w:w="2258" w:type="dxa"/>
            <w:tcBorders>
              <w:top w:val="single" w:color="auto" w:sz="4" w:space="0"/>
              <w:left w:val="single" w:color="auto" w:sz="4" w:space="0"/>
              <w:bottom w:val="single" w:color="auto" w:sz="4" w:space="0"/>
              <w:right w:val="single" w:color="auto" w:sz="4" w:space="0"/>
            </w:tcBorders>
            <w:shd w:val="clear" w:color="auto" w:fill="FDEADA"/>
            <w:vAlign w:val="center"/>
          </w:tcPr>
          <w:p>
            <w:pPr>
              <w:widowControl/>
              <w:jc w:val="center"/>
              <w:rPr>
                <w:rFonts w:eastAsia="黑体"/>
                <w:kern w:val="0"/>
                <w:szCs w:val="21"/>
              </w:rPr>
            </w:pPr>
            <w:r>
              <w:rPr>
                <w:rFonts w:eastAsia="黑体"/>
                <w:kern w:val="0"/>
                <w:sz w:val="21"/>
                <w:szCs w:val="21"/>
              </w:rPr>
              <w:t>消防文员</w:t>
            </w:r>
          </w:p>
        </w:tc>
        <w:tc>
          <w:tcPr>
            <w:tcW w:w="7558" w:type="dxa"/>
            <w:tcBorders>
              <w:top w:val="single" w:color="auto" w:sz="4" w:space="0"/>
              <w:left w:val="single" w:color="auto" w:sz="4" w:space="0"/>
              <w:bottom w:val="single" w:color="auto" w:sz="4" w:space="0"/>
              <w:right w:val="single" w:color="auto" w:sz="4" w:space="0"/>
            </w:tcBorders>
            <w:shd w:val="clear" w:color="auto" w:fill="FDEADA"/>
            <w:vAlign w:val="center"/>
          </w:tcPr>
          <w:p>
            <w:pPr>
              <w:widowControl/>
              <w:jc w:val="center"/>
              <w:textAlignment w:val="center"/>
              <w:rPr>
                <w:rFonts w:hint="eastAsia" w:eastAsia="仿宋"/>
                <w:szCs w:val="21"/>
                <w:lang w:val="en-US" w:eastAsia="zh-CN"/>
              </w:rPr>
            </w:pPr>
            <w:r>
              <w:rPr>
                <w:rFonts w:hint="default" w:eastAsia="仿宋"/>
                <w:szCs w:val="21"/>
                <w:lang w:val="en-US" w:eastAsia="zh-CN"/>
              </w:rPr>
              <w:t>0</w:t>
            </w:r>
          </w:p>
        </w:tc>
        <w:tc>
          <w:tcPr>
            <w:tcW w:w="1798" w:type="dxa"/>
            <w:tcBorders>
              <w:top w:val="single" w:color="auto" w:sz="4" w:space="0"/>
              <w:left w:val="single" w:color="auto" w:sz="4" w:space="0"/>
              <w:bottom w:val="single" w:color="auto" w:sz="4" w:space="0"/>
              <w:right w:val="single" w:color="auto" w:sz="4" w:space="0"/>
            </w:tcBorders>
            <w:shd w:val="clear" w:color="auto" w:fill="FDEADA"/>
            <w:vAlign w:val="center"/>
          </w:tcPr>
          <w:p>
            <w:pPr>
              <w:widowControl/>
              <w:jc w:val="center"/>
              <w:textAlignment w:val="center"/>
              <w:rPr>
                <w:rFonts w:eastAsia="仿宋"/>
                <w:kern w:val="0"/>
                <w:szCs w:val="21"/>
              </w:rPr>
            </w:pPr>
            <w:r>
              <w:rPr>
                <w:rFonts w:hint="eastAsia" w:eastAsia="仿宋"/>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18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Cs w:val="21"/>
              </w:rPr>
            </w:pPr>
            <w:r>
              <w:rPr>
                <w:rFonts w:eastAsia="黑体"/>
                <w:kern w:val="0"/>
                <w:sz w:val="21"/>
                <w:szCs w:val="21"/>
              </w:rPr>
              <w:t>2025年</w:t>
            </w:r>
          </w:p>
        </w:tc>
        <w:tc>
          <w:tcPr>
            <w:tcW w:w="225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Cs w:val="21"/>
              </w:rPr>
            </w:pPr>
            <w:r>
              <w:rPr>
                <w:rFonts w:eastAsia="黑体"/>
                <w:kern w:val="0"/>
                <w:sz w:val="21"/>
                <w:szCs w:val="21"/>
              </w:rPr>
              <w:t>专职消防队员</w:t>
            </w:r>
          </w:p>
        </w:tc>
        <w:tc>
          <w:tcPr>
            <w:tcW w:w="75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
                <w:szCs w:val="21"/>
              </w:rPr>
            </w:pPr>
            <w:r>
              <w:rPr>
                <w:rFonts w:eastAsia="仿宋"/>
                <w:kern w:val="0"/>
                <w:sz w:val="21"/>
                <w:szCs w:val="21"/>
              </w:rPr>
              <w:t>0</w:t>
            </w:r>
          </w:p>
        </w:tc>
        <w:tc>
          <w:tcPr>
            <w:tcW w:w="17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
                <w:kern w:val="0"/>
                <w:szCs w:val="21"/>
              </w:rPr>
            </w:pPr>
            <w:r>
              <w:rPr>
                <w:rFonts w:eastAsia="仿宋"/>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18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黑体"/>
                <w:kern w:val="0"/>
                <w:szCs w:val="21"/>
              </w:rPr>
            </w:pPr>
          </w:p>
        </w:tc>
        <w:tc>
          <w:tcPr>
            <w:tcW w:w="2258" w:type="dxa"/>
            <w:tcBorders>
              <w:top w:val="single" w:color="auto" w:sz="4" w:space="0"/>
              <w:left w:val="single" w:color="auto" w:sz="4" w:space="0"/>
              <w:bottom w:val="single" w:color="auto" w:sz="4" w:space="0"/>
              <w:right w:val="single" w:color="auto" w:sz="4" w:space="0"/>
            </w:tcBorders>
            <w:shd w:val="clear" w:color="auto" w:fill="FDEADA"/>
            <w:vAlign w:val="center"/>
          </w:tcPr>
          <w:p>
            <w:pPr>
              <w:widowControl/>
              <w:jc w:val="center"/>
              <w:rPr>
                <w:rFonts w:eastAsia="黑体"/>
                <w:kern w:val="0"/>
                <w:szCs w:val="21"/>
              </w:rPr>
            </w:pPr>
            <w:r>
              <w:rPr>
                <w:rFonts w:eastAsia="黑体"/>
                <w:kern w:val="0"/>
                <w:sz w:val="21"/>
                <w:szCs w:val="21"/>
              </w:rPr>
              <w:t>消防文员</w:t>
            </w:r>
          </w:p>
        </w:tc>
        <w:tc>
          <w:tcPr>
            <w:tcW w:w="7558" w:type="dxa"/>
            <w:tcBorders>
              <w:top w:val="single" w:color="auto" w:sz="4" w:space="0"/>
              <w:left w:val="single" w:color="auto" w:sz="4" w:space="0"/>
              <w:bottom w:val="single" w:color="auto" w:sz="4" w:space="0"/>
              <w:right w:val="single" w:color="auto" w:sz="4" w:space="0"/>
            </w:tcBorders>
            <w:shd w:val="clear" w:color="auto" w:fill="FDEADA"/>
            <w:vAlign w:val="center"/>
          </w:tcPr>
          <w:p>
            <w:pPr>
              <w:widowControl/>
              <w:jc w:val="center"/>
              <w:textAlignment w:val="center"/>
              <w:rPr>
                <w:rFonts w:hint="eastAsia" w:eastAsia="仿宋"/>
                <w:szCs w:val="21"/>
                <w:lang w:eastAsia="zh-CN"/>
              </w:rPr>
            </w:pPr>
            <w:r>
              <w:rPr>
                <w:rFonts w:hint="default" w:eastAsia="仿宋"/>
                <w:szCs w:val="21"/>
                <w:lang w:val="en-US" w:eastAsia="zh-CN"/>
              </w:rPr>
              <w:t>0</w:t>
            </w:r>
          </w:p>
        </w:tc>
        <w:tc>
          <w:tcPr>
            <w:tcW w:w="1798" w:type="dxa"/>
            <w:tcBorders>
              <w:top w:val="single" w:color="auto" w:sz="4" w:space="0"/>
              <w:left w:val="single" w:color="auto" w:sz="4" w:space="0"/>
              <w:bottom w:val="single" w:color="auto" w:sz="4" w:space="0"/>
              <w:right w:val="single" w:color="auto" w:sz="4" w:space="0"/>
            </w:tcBorders>
            <w:shd w:val="clear" w:color="auto" w:fill="FDEADA"/>
            <w:vAlign w:val="center"/>
          </w:tcPr>
          <w:p>
            <w:pPr>
              <w:widowControl/>
              <w:jc w:val="center"/>
              <w:textAlignment w:val="center"/>
              <w:rPr>
                <w:rFonts w:eastAsia="仿宋"/>
                <w:kern w:val="0"/>
                <w:szCs w:val="21"/>
              </w:rPr>
            </w:pPr>
            <w:r>
              <w:rPr>
                <w:rFonts w:hint="eastAsia" w:eastAsia="仿宋"/>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18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Cs w:val="21"/>
              </w:rPr>
            </w:pPr>
            <w:r>
              <w:rPr>
                <w:rFonts w:eastAsia="黑体"/>
                <w:kern w:val="0"/>
                <w:sz w:val="21"/>
                <w:szCs w:val="21"/>
              </w:rPr>
              <w:t>增加</w:t>
            </w:r>
          </w:p>
          <w:p>
            <w:pPr>
              <w:widowControl/>
              <w:jc w:val="center"/>
              <w:rPr>
                <w:rFonts w:eastAsia="黑体"/>
                <w:kern w:val="0"/>
                <w:szCs w:val="21"/>
              </w:rPr>
            </w:pPr>
            <w:r>
              <w:rPr>
                <w:rFonts w:eastAsia="黑体"/>
                <w:kern w:val="0"/>
                <w:sz w:val="21"/>
                <w:szCs w:val="21"/>
              </w:rPr>
              <w:t>总数</w:t>
            </w:r>
          </w:p>
        </w:tc>
        <w:tc>
          <w:tcPr>
            <w:tcW w:w="225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Cs w:val="21"/>
              </w:rPr>
            </w:pPr>
            <w:r>
              <w:rPr>
                <w:rFonts w:eastAsia="黑体"/>
                <w:kern w:val="0"/>
                <w:sz w:val="21"/>
                <w:szCs w:val="21"/>
              </w:rPr>
              <w:t>专职消防队员</w:t>
            </w:r>
          </w:p>
        </w:tc>
        <w:tc>
          <w:tcPr>
            <w:tcW w:w="75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eastAsia="仿宋"/>
                <w:b/>
                <w:bCs/>
                <w:szCs w:val="21"/>
                <w:lang w:val="en-US"/>
              </w:rPr>
            </w:pPr>
            <w:r>
              <w:rPr>
                <w:rFonts w:hint="default" w:eastAsia="仿宋"/>
                <w:b/>
                <w:bCs/>
                <w:szCs w:val="21"/>
                <w:lang w:val="en-US"/>
              </w:rPr>
              <w:t>15</w:t>
            </w:r>
          </w:p>
        </w:tc>
        <w:tc>
          <w:tcPr>
            <w:tcW w:w="179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仿宋"/>
                <w:b/>
                <w:bCs/>
                <w:kern w:val="0"/>
                <w:szCs w:val="21"/>
              </w:rPr>
            </w:pPr>
            <w:r>
              <w:rPr>
                <w:rFonts w:hint="eastAsia" w:eastAsia="仿宋"/>
                <w:b/>
                <w:bCs/>
                <w:kern w:val="0"/>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18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黑体"/>
                <w:szCs w:val="21"/>
              </w:rPr>
            </w:pPr>
          </w:p>
        </w:tc>
        <w:tc>
          <w:tcPr>
            <w:tcW w:w="2258" w:type="dxa"/>
            <w:tcBorders>
              <w:top w:val="single" w:color="auto" w:sz="4" w:space="0"/>
              <w:left w:val="single" w:color="auto" w:sz="4" w:space="0"/>
              <w:bottom w:val="single" w:color="auto" w:sz="4" w:space="0"/>
              <w:right w:val="single" w:color="auto" w:sz="4" w:space="0"/>
            </w:tcBorders>
            <w:shd w:val="clear" w:color="auto" w:fill="FDEADA"/>
            <w:vAlign w:val="center"/>
          </w:tcPr>
          <w:p>
            <w:pPr>
              <w:widowControl/>
              <w:jc w:val="center"/>
              <w:rPr>
                <w:rFonts w:eastAsia="黑体"/>
                <w:kern w:val="0"/>
                <w:szCs w:val="21"/>
              </w:rPr>
            </w:pPr>
            <w:r>
              <w:rPr>
                <w:rFonts w:eastAsia="黑体"/>
                <w:kern w:val="0"/>
                <w:sz w:val="21"/>
                <w:szCs w:val="21"/>
              </w:rPr>
              <w:t>消防文员</w:t>
            </w:r>
          </w:p>
        </w:tc>
        <w:tc>
          <w:tcPr>
            <w:tcW w:w="7558" w:type="dxa"/>
            <w:tcBorders>
              <w:top w:val="single" w:color="auto" w:sz="4" w:space="0"/>
              <w:left w:val="single" w:color="auto" w:sz="4" w:space="0"/>
              <w:bottom w:val="single" w:color="auto" w:sz="4" w:space="0"/>
              <w:right w:val="single" w:color="auto" w:sz="4" w:space="0"/>
            </w:tcBorders>
            <w:shd w:val="clear" w:color="auto" w:fill="FDEADA"/>
            <w:vAlign w:val="center"/>
          </w:tcPr>
          <w:p>
            <w:pPr>
              <w:widowControl/>
              <w:jc w:val="center"/>
              <w:textAlignment w:val="center"/>
              <w:rPr>
                <w:rFonts w:hint="eastAsia" w:eastAsia="仿宋"/>
                <w:b/>
                <w:bCs/>
                <w:szCs w:val="21"/>
                <w:lang w:eastAsia="zh-CN"/>
              </w:rPr>
            </w:pPr>
            <w:r>
              <w:rPr>
                <w:rFonts w:hint="default" w:eastAsia="仿宋"/>
                <w:b/>
                <w:bCs/>
                <w:szCs w:val="21"/>
                <w:lang w:val="en-US" w:eastAsia="zh-CN"/>
              </w:rPr>
              <w:t>2</w:t>
            </w:r>
          </w:p>
        </w:tc>
        <w:tc>
          <w:tcPr>
            <w:tcW w:w="1798" w:type="dxa"/>
            <w:tcBorders>
              <w:top w:val="single" w:color="auto" w:sz="4" w:space="0"/>
              <w:left w:val="single" w:color="auto" w:sz="4" w:space="0"/>
              <w:bottom w:val="single" w:color="auto" w:sz="4" w:space="0"/>
              <w:right w:val="single" w:color="auto" w:sz="4" w:space="0"/>
            </w:tcBorders>
            <w:shd w:val="clear" w:color="auto" w:fill="FDEADA"/>
            <w:vAlign w:val="center"/>
          </w:tcPr>
          <w:p>
            <w:pPr>
              <w:widowControl/>
              <w:jc w:val="center"/>
              <w:textAlignment w:val="center"/>
              <w:rPr>
                <w:rFonts w:eastAsia="仿宋"/>
                <w:b/>
                <w:bCs/>
                <w:kern w:val="0"/>
                <w:szCs w:val="21"/>
              </w:rPr>
            </w:pPr>
            <w:r>
              <w:rPr>
                <w:rFonts w:hint="eastAsia" w:eastAsia="仿宋"/>
                <w:b/>
                <w:bCs/>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13438" w:type="dxa"/>
            <w:gridSpan w:val="4"/>
            <w:tcBorders>
              <w:top w:val="single" w:color="auto" w:sz="4" w:space="0"/>
              <w:left w:val="single" w:color="auto" w:sz="4" w:space="0"/>
              <w:bottom w:val="single" w:color="auto" w:sz="4" w:space="0"/>
              <w:right w:val="single" w:color="auto" w:sz="4" w:space="0"/>
            </w:tcBorders>
            <w:vAlign w:val="center"/>
          </w:tcPr>
          <w:p>
            <w:pPr>
              <w:widowControl/>
              <w:textAlignment w:val="center"/>
              <w:rPr>
                <w:rFonts w:eastAsia="仿宋"/>
                <w:b/>
                <w:bCs/>
                <w:kern w:val="0"/>
                <w:szCs w:val="21"/>
              </w:rPr>
            </w:pPr>
            <w:r>
              <w:rPr>
                <w:kern w:val="0"/>
                <w:sz w:val="21"/>
                <w:szCs w:val="21"/>
              </w:rPr>
              <w:t>注：“十四五”期间，若现状专职消防队员、消防文员数量有所减少，其减少的人员应纳入下一年度征召计划中。</w:t>
            </w:r>
          </w:p>
        </w:tc>
      </w:tr>
    </w:tbl>
    <w:p>
      <w:pPr>
        <w:keepNext w:val="0"/>
        <w:keepLines w:val="0"/>
        <w:pageBreakBefore w:val="0"/>
        <w:widowControl/>
        <w:tabs>
          <w:tab w:val="left" w:pos="10087"/>
        </w:tabs>
        <w:kinsoku/>
        <w:wordWrap/>
        <w:overflowPunct/>
        <w:topLinePunct w:val="0"/>
        <w:autoSpaceDE/>
        <w:autoSpaceDN/>
        <w:bidi w:val="0"/>
        <w:adjustRightInd w:val="0"/>
        <w:snapToGrid w:val="0"/>
        <w:spacing w:line="360" w:lineRule="auto"/>
        <w:jc w:val="both"/>
        <w:textAlignment w:val="auto"/>
        <w:outlineLvl w:val="0"/>
        <w:rPr>
          <w:rFonts w:hint="eastAsia" w:ascii="黑体" w:hAnsi="黑体" w:eastAsia="黑体" w:cs="黑体"/>
          <w:sz w:val="21"/>
          <w:szCs w:val="21"/>
        </w:rPr>
      </w:pPr>
      <w:bookmarkStart w:id="26" w:name="_Toc1873783421"/>
    </w:p>
    <w:p>
      <w:pPr>
        <w:keepNext w:val="0"/>
        <w:keepLines w:val="0"/>
        <w:pageBreakBefore w:val="0"/>
        <w:widowControl/>
        <w:tabs>
          <w:tab w:val="left" w:pos="10087"/>
        </w:tabs>
        <w:kinsoku/>
        <w:wordWrap/>
        <w:overflowPunct/>
        <w:topLinePunct w:val="0"/>
        <w:autoSpaceDE/>
        <w:autoSpaceDN/>
        <w:bidi w:val="0"/>
        <w:adjustRightInd w:val="0"/>
        <w:snapToGrid w:val="0"/>
        <w:spacing w:line="360" w:lineRule="auto"/>
        <w:jc w:val="both"/>
        <w:textAlignment w:val="auto"/>
        <w:outlineLvl w:val="0"/>
        <w:rPr>
          <w:rFonts w:hint="eastAsia" w:ascii="黑体" w:hAnsi="黑体" w:eastAsia="黑体" w:cs="黑体"/>
          <w:sz w:val="21"/>
          <w:szCs w:val="21"/>
        </w:rPr>
      </w:pPr>
      <w:r>
        <w:rPr>
          <w:rFonts w:hint="eastAsia" w:ascii="黑体" w:hAnsi="黑体" w:eastAsia="黑体" w:cs="黑体"/>
          <w:sz w:val="21"/>
          <w:szCs w:val="21"/>
        </w:rPr>
        <w:t>附表2</w:t>
      </w:r>
    </w:p>
    <w:p>
      <w:pPr>
        <w:keepNext w:val="0"/>
        <w:keepLines w:val="0"/>
        <w:pageBreakBefore w:val="0"/>
        <w:widowControl/>
        <w:tabs>
          <w:tab w:val="left" w:pos="10087"/>
        </w:tabs>
        <w:kinsoku/>
        <w:wordWrap/>
        <w:overflowPunct/>
        <w:topLinePunct w:val="0"/>
        <w:autoSpaceDE/>
        <w:autoSpaceDN/>
        <w:bidi w:val="0"/>
        <w:adjustRightInd w:val="0"/>
        <w:snapToGrid w:val="0"/>
        <w:spacing w:line="240" w:lineRule="auto"/>
        <w:jc w:val="center"/>
        <w:textAlignment w:val="auto"/>
        <w:outlineLvl w:val="0"/>
        <w:rPr>
          <w:rFonts w:eastAsia="Arial Unicode MS"/>
          <w:sz w:val="44"/>
          <w:szCs w:val="44"/>
        </w:rPr>
      </w:pPr>
      <w:r>
        <w:rPr>
          <w:rFonts w:eastAsia="Arial Unicode MS"/>
          <w:sz w:val="44"/>
          <w:szCs w:val="44"/>
        </w:rPr>
        <w:t>“十四五”期间</w:t>
      </w:r>
      <w:r>
        <w:rPr>
          <w:rFonts w:hint="eastAsia" w:eastAsia="Arial Unicode MS"/>
          <w:sz w:val="44"/>
          <w:szCs w:val="44"/>
        </w:rPr>
        <w:t>保德县</w:t>
      </w:r>
      <w:r>
        <w:rPr>
          <w:rFonts w:eastAsia="Arial Unicode MS"/>
          <w:sz w:val="44"/>
          <w:szCs w:val="44"/>
        </w:rPr>
        <w:t>市政消火栓建设规划表</w:t>
      </w:r>
      <w:bookmarkEnd w:id="26"/>
    </w:p>
    <w:tbl>
      <w:tblPr>
        <w:tblStyle w:val="12"/>
        <w:tblW w:w="0" w:type="auto"/>
        <w:tblInd w:w="0" w:type="dxa"/>
        <w:tblLayout w:type="fixed"/>
        <w:tblCellMar>
          <w:top w:w="0" w:type="dxa"/>
          <w:left w:w="108" w:type="dxa"/>
          <w:bottom w:w="0" w:type="dxa"/>
          <w:right w:w="108" w:type="dxa"/>
        </w:tblCellMar>
      </w:tblPr>
      <w:tblGrid>
        <w:gridCol w:w="978"/>
        <w:gridCol w:w="1678"/>
        <w:gridCol w:w="9876"/>
        <w:gridCol w:w="869"/>
      </w:tblGrid>
      <w:tr>
        <w:tblPrEx>
          <w:tblCellMar>
            <w:top w:w="0" w:type="dxa"/>
            <w:left w:w="108" w:type="dxa"/>
            <w:bottom w:w="0" w:type="dxa"/>
            <w:right w:w="108" w:type="dxa"/>
          </w:tblCellMar>
        </w:tblPrEx>
        <w:trPr>
          <w:trHeight w:val="488" w:hRule="atLeast"/>
        </w:trPr>
        <w:tc>
          <w:tcPr>
            <w:tcW w:w="978" w:type="dxa"/>
            <w:tcBorders>
              <w:top w:val="single" w:color="auto" w:sz="4" w:space="0"/>
              <w:left w:val="single" w:color="auto" w:sz="4" w:space="0"/>
              <w:bottom w:val="single" w:color="auto" w:sz="4" w:space="0"/>
              <w:right w:val="single" w:color="000000" w:sz="4" w:space="0"/>
            </w:tcBorders>
            <w:vAlign w:val="center"/>
          </w:tcPr>
          <w:p>
            <w:pPr>
              <w:jc w:val="center"/>
              <w:rPr>
                <w:rFonts w:eastAsia="黑体"/>
                <w:bCs/>
                <w:kern w:val="0"/>
                <w:sz w:val="24"/>
              </w:rPr>
            </w:pPr>
            <w:r>
              <w:rPr>
                <w:rFonts w:eastAsia="黑体"/>
                <w:bCs/>
                <w:kern w:val="0"/>
                <w:sz w:val="24"/>
              </w:rPr>
              <w:t>年度</w:t>
            </w:r>
          </w:p>
        </w:tc>
        <w:tc>
          <w:tcPr>
            <w:tcW w:w="1678" w:type="dxa"/>
            <w:tcBorders>
              <w:top w:val="single" w:color="auto" w:sz="4" w:space="0"/>
              <w:left w:val="single" w:color="000000" w:sz="4" w:space="0"/>
              <w:bottom w:val="single" w:color="auto" w:sz="4" w:space="0"/>
              <w:right w:val="single" w:color="000000" w:sz="4" w:space="0"/>
              <w:tl2br w:val="single" w:color="000000" w:sz="4" w:space="0"/>
            </w:tcBorders>
            <w:vAlign w:val="center"/>
          </w:tcPr>
          <w:p>
            <w:pPr>
              <w:jc w:val="center"/>
              <w:rPr>
                <w:rFonts w:eastAsia="黑体"/>
                <w:bCs/>
                <w:kern w:val="0"/>
                <w:sz w:val="24"/>
              </w:rPr>
            </w:pPr>
            <w:r>
              <w:rPr>
                <w:rFonts w:eastAsia="黑体"/>
                <w:bCs/>
                <w:kern w:val="0"/>
                <w:sz w:val="24"/>
              </w:rPr>
              <w:t xml:space="preserve">      单位</w:t>
            </w:r>
          </w:p>
          <w:p>
            <w:pPr>
              <w:rPr>
                <w:rFonts w:eastAsia="黑体"/>
                <w:bCs/>
                <w:kern w:val="0"/>
                <w:sz w:val="24"/>
              </w:rPr>
            </w:pPr>
            <w:r>
              <w:rPr>
                <w:rFonts w:eastAsia="黑体"/>
                <w:bCs/>
                <w:kern w:val="0"/>
                <w:sz w:val="24"/>
              </w:rPr>
              <w:t>项目</w:t>
            </w:r>
          </w:p>
        </w:tc>
        <w:tc>
          <w:tcPr>
            <w:tcW w:w="9876" w:type="dxa"/>
            <w:tcBorders>
              <w:top w:val="single" w:color="auto" w:sz="4" w:space="0"/>
              <w:left w:val="nil"/>
              <w:bottom w:val="single" w:color="auto" w:sz="4" w:space="0"/>
              <w:right w:val="single" w:color="000000" w:sz="4" w:space="0"/>
            </w:tcBorders>
            <w:vAlign w:val="center"/>
          </w:tcPr>
          <w:p>
            <w:pPr>
              <w:widowControl/>
              <w:spacing w:line="300" w:lineRule="exact"/>
              <w:jc w:val="center"/>
              <w:rPr>
                <w:rFonts w:hint="eastAsia" w:eastAsia="黑体"/>
                <w:bCs/>
                <w:kern w:val="0"/>
                <w:sz w:val="24"/>
              </w:rPr>
            </w:pPr>
            <w:r>
              <w:rPr>
                <w:rFonts w:hint="eastAsia" w:eastAsia="黑体"/>
                <w:bCs/>
                <w:kern w:val="0"/>
                <w:sz w:val="24"/>
              </w:rPr>
              <w:t>保德县</w:t>
            </w:r>
          </w:p>
        </w:tc>
        <w:tc>
          <w:tcPr>
            <w:tcW w:w="869" w:type="dxa"/>
            <w:tcBorders>
              <w:top w:val="single" w:color="auto" w:sz="4" w:space="0"/>
              <w:left w:val="single" w:color="000000" w:sz="4" w:space="0"/>
              <w:bottom w:val="single" w:color="auto" w:sz="4" w:space="0"/>
              <w:right w:val="single" w:color="auto" w:sz="4" w:space="0"/>
            </w:tcBorders>
            <w:vAlign w:val="center"/>
          </w:tcPr>
          <w:p>
            <w:pPr>
              <w:widowControl/>
              <w:jc w:val="center"/>
              <w:rPr>
                <w:rFonts w:eastAsia="黑体"/>
                <w:bCs/>
                <w:kern w:val="0"/>
                <w:sz w:val="24"/>
              </w:rPr>
            </w:pPr>
            <w:r>
              <w:rPr>
                <w:rFonts w:eastAsia="黑体"/>
                <w:bCs/>
                <w:kern w:val="0"/>
                <w:sz w:val="24"/>
              </w:rPr>
              <w:t>合计</w:t>
            </w:r>
          </w:p>
        </w:tc>
      </w:tr>
      <w:tr>
        <w:tblPrEx>
          <w:tblCellMar>
            <w:top w:w="0" w:type="dxa"/>
            <w:left w:w="108" w:type="dxa"/>
            <w:bottom w:w="0" w:type="dxa"/>
            <w:right w:w="108" w:type="dxa"/>
          </w:tblCellMar>
        </w:tblPrEx>
        <w:trPr>
          <w:trHeight w:val="390" w:hRule="atLeast"/>
        </w:trPr>
        <w:tc>
          <w:tcPr>
            <w:tcW w:w="978" w:type="dxa"/>
            <w:tcBorders>
              <w:top w:val="single" w:color="auto" w:sz="4" w:space="0"/>
              <w:left w:val="single" w:color="000000" w:sz="4" w:space="0"/>
              <w:bottom w:val="single" w:color="000000" w:sz="4" w:space="0"/>
              <w:right w:val="single" w:color="000000" w:sz="4" w:space="0"/>
            </w:tcBorders>
            <w:shd w:val="clear" w:color="auto" w:fill="FDEADA"/>
            <w:vAlign w:val="center"/>
          </w:tcPr>
          <w:p>
            <w:pPr>
              <w:widowControl/>
              <w:jc w:val="center"/>
              <w:rPr>
                <w:rFonts w:eastAsia="黑体"/>
                <w:kern w:val="0"/>
                <w:sz w:val="18"/>
                <w:szCs w:val="18"/>
              </w:rPr>
            </w:pPr>
            <w:r>
              <w:rPr>
                <w:rFonts w:eastAsia="黑体"/>
                <w:kern w:val="0"/>
                <w:sz w:val="18"/>
                <w:szCs w:val="18"/>
              </w:rPr>
              <w:t>2021年</w:t>
            </w:r>
          </w:p>
        </w:tc>
        <w:tc>
          <w:tcPr>
            <w:tcW w:w="1678" w:type="dxa"/>
            <w:tcBorders>
              <w:top w:val="single" w:color="auto" w:sz="4" w:space="0"/>
              <w:left w:val="nil"/>
              <w:bottom w:val="single" w:color="000000" w:sz="4" w:space="0"/>
              <w:right w:val="single" w:color="000000" w:sz="4" w:space="0"/>
            </w:tcBorders>
            <w:shd w:val="clear" w:color="auto" w:fill="FDEADA"/>
            <w:vAlign w:val="center"/>
          </w:tcPr>
          <w:p>
            <w:pPr>
              <w:widowControl/>
              <w:spacing w:line="260" w:lineRule="exact"/>
              <w:jc w:val="center"/>
              <w:rPr>
                <w:rFonts w:eastAsia="黑体"/>
                <w:kern w:val="0"/>
                <w:sz w:val="18"/>
                <w:szCs w:val="18"/>
              </w:rPr>
            </w:pPr>
            <w:r>
              <w:rPr>
                <w:rFonts w:eastAsia="黑体"/>
                <w:kern w:val="0"/>
                <w:sz w:val="18"/>
                <w:szCs w:val="18"/>
              </w:rPr>
              <w:t>市政消火栓数（个）</w:t>
            </w:r>
          </w:p>
        </w:tc>
        <w:tc>
          <w:tcPr>
            <w:tcW w:w="9876" w:type="dxa"/>
            <w:tcBorders>
              <w:top w:val="single" w:color="auto" w:sz="4" w:space="0"/>
              <w:left w:val="nil"/>
              <w:bottom w:val="single" w:color="000000" w:sz="4" w:space="0"/>
              <w:right w:val="single" w:color="000000" w:sz="4" w:space="0"/>
            </w:tcBorders>
            <w:shd w:val="clear" w:color="auto" w:fill="FDEADA"/>
            <w:vAlign w:val="center"/>
          </w:tcPr>
          <w:p>
            <w:pPr>
              <w:widowControl/>
              <w:jc w:val="center"/>
              <w:textAlignment w:val="center"/>
              <w:rPr>
                <w:rFonts w:eastAsia="仿宋"/>
                <w:kern w:val="0"/>
                <w:sz w:val="21"/>
                <w:szCs w:val="21"/>
              </w:rPr>
            </w:pPr>
            <w:r>
              <w:rPr>
                <w:rFonts w:eastAsia="仿宋"/>
                <w:kern w:val="0"/>
                <w:sz w:val="21"/>
                <w:szCs w:val="21"/>
                <w:lang w:val="en-US"/>
              </w:rPr>
              <w:t>0</w:t>
            </w:r>
          </w:p>
        </w:tc>
        <w:tc>
          <w:tcPr>
            <w:tcW w:w="869" w:type="dxa"/>
            <w:tcBorders>
              <w:top w:val="single" w:color="auto" w:sz="4" w:space="0"/>
              <w:left w:val="nil"/>
              <w:bottom w:val="single" w:color="000000" w:sz="4" w:space="0"/>
              <w:right w:val="single" w:color="000000" w:sz="4" w:space="0"/>
            </w:tcBorders>
            <w:shd w:val="clear" w:color="auto" w:fill="FDEADA"/>
            <w:vAlign w:val="center"/>
          </w:tcPr>
          <w:p>
            <w:pPr>
              <w:widowControl/>
              <w:jc w:val="center"/>
              <w:textAlignment w:val="center"/>
              <w:rPr>
                <w:rFonts w:eastAsia="仿宋"/>
                <w:szCs w:val="21"/>
              </w:rPr>
            </w:pPr>
            <w:r>
              <w:rPr>
                <w:rFonts w:eastAsia="仿宋"/>
                <w:szCs w:val="21"/>
                <w:lang w:val="en-US"/>
              </w:rPr>
              <w:t>0</w:t>
            </w:r>
          </w:p>
        </w:tc>
      </w:tr>
      <w:tr>
        <w:tblPrEx>
          <w:tblCellMar>
            <w:top w:w="0" w:type="dxa"/>
            <w:left w:w="108" w:type="dxa"/>
            <w:bottom w:w="0" w:type="dxa"/>
            <w:right w:w="108" w:type="dxa"/>
          </w:tblCellMar>
        </w:tblPrEx>
        <w:trPr>
          <w:trHeight w:val="390" w:hRule="atLeast"/>
        </w:trPr>
        <w:tc>
          <w:tcPr>
            <w:tcW w:w="978" w:type="dxa"/>
            <w:tcBorders>
              <w:top w:val="single" w:color="auto" w:sz="4" w:space="0"/>
              <w:left w:val="single" w:color="000000" w:sz="4" w:space="0"/>
              <w:bottom w:val="single" w:color="000000" w:sz="4" w:space="0"/>
              <w:right w:val="single" w:color="000000" w:sz="4" w:space="0"/>
            </w:tcBorders>
            <w:shd w:val="clear" w:color="auto" w:fill="FDEADA"/>
            <w:vAlign w:val="center"/>
          </w:tcPr>
          <w:p>
            <w:pPr>
              <w:widowControl/>
              <w:jc w:val="center"/>
              <w:rPr>
                <w:rFonts w:eastAsia="黑体"/>
                <w:kern w:val="0"/>
                <w:sz w:val="18"/>
                <w:szCs w:val="18"/>
              </w:rPr>
            </w:pPr>
            <w:r>
              <w:rPr>
                <w:rFonts w:eastAsia="黑体"/>
                <w:kern w:val="0"/>
                <w:sz w:val="18"/>
                <w:szCs w:val="18"/>
              </w:rPr>
              <w:t>2021年</w:t>
            </w:r>
          </w:p>
        </w:tc>
        <w:tc>
          <w:tcPr>
            <w:tcW w:w="1678" w:type="dxa"/>
            <w:tcBorders>
              <w:top w:val="single" w:color="auto" w:sz="4" w:space="0"/>
              <w:left w:val="nil"/>
              <w:bottom w:val="single" w:color="000000" w:sz="4" w:space="0"/>
              <w:right w:val="single" w:color="000000" w:sz="4" w:space="0"/>
            </w:tcBorders>
            <w:shd w:val="clear" w:color="auto" w:fill="EBF1DE"/>
            <w:vAlign w:val="center"/>
          </w:tcPr>
          <w:p>
            <w:pPr>
              <w:widowControl/>
              <w:jc w:val="center"/>
              <w:rPr>
                <w:rFonts w:eastAsia="黑体"/>
                <w:kern w:val="0"/>
                <w:sz w:val="18"/>
                <w:szCs w:val="18"/>
              </w:rPr>
            </w:pPr>
            <w:r>
              <w:rPr>
                <w:rFonts w:eastAsia="黑体"/>
                <w:kern w:val="0"/>
                <w:sz w:val="18"/>
                <w:szCs w:val="18"/>
              </w:rPr>
              <w:t>消防水鹤数（个）</w:t>
            </w:r>
          </w:p>
        </w:tc>
        <w:tc>
          <w:tcPr>
            <w:tcW w:w="9876" w:type="dxa"/>
            <w:tcBorders>
              <w:top w:val="single" w:color="auto" w:sz="4" w:space="0"/>
              <w:left w:val="nil"/>
              <w:bottom w:val="single" w:color="000000" w:sz="4" w:space="0"/>
              <w:right w:val="single" w:color="000000" w:sz="4" w:space="0"/>
            </w:tcBorders>
            <w:shd w:val="clear" w:color="auto" w:fill="EBF1DE"/>
            <w:vAlign w:val="center"/>
          </w:tcPr>
          <w:p>
            <w:pPr>
              <w:widowControl/>
              <w:jc w:val="center"/>
              <w:textAlignment w:val="center"/>
              <w:rPr>
                <w:rFonts w:eastAsia="仿宋"/>
                <w:kern w:val="0"/>
                <w:sz w:val="21"/>
                <w:szCs w:val="21"/>
              </w:rPr>
            </w:pPr>
            <w:r>
              <w:rPr>
                <w:rFonts w:eastAsia="仿宋"/>
                <w:kern w:val="0"/>
                <w:sz w:val="21"/>
                <w:szCs w:val="21"/>
              </w:rPr>
              <w:t>0</w:t>
            </w:r>
          </w:p>
        </w:tc>
        <w:tc>
          <w:tcPr>
            <w:tcW w:w="869" w:type="dxa"/>
            <w:tcBorders>
              <w:top w:val="single" w:color="auto" w:sz="4" w:space="0"/>
              <w:left w:val="nil"/>
              <w:bottom w:val="single" w:color="000000" w:sz="4" w:space="0"/>
              <w:right w:val="single" w:color="000000" w:sz="4" w:space="0"/>
            </w:tcBorders>
            <w:shd w:val="clear" w:color="auto" w:fill="EBF1DE"/>
            <w:vAlign w:val="center"/>
          </w:tcPr>
          <w:p>
            <w:pPr>
              <w:widowControl/>
              <w:jc w:val="center"/>
              <w:textAlignment w:val="center"/>
              <w:rPr>
                <w:rFonts w:eastAsia="仿宋"/>
                <w:kern w:val="0"/>
                <w:szCs w:val="21"/>
              </w:rPr>
            </w:pPr>
            <w:r>
              <w:rPr>
                <w:rFonts w:eastAsia="仿宋"/>
                <w:kern w:val="0"/>
                <w:sz w:val="21"/>
                <w:szCs w:val="21"/>
              </w:rPr>
              <w:t>0</w:t>
            </w:r>
          </w:p>
        </w:tc>
      </w:tr>
      <w:tr>
        <w:tblPrEx>
          <w:tblCellMar>
            <w:top w:w="0" w:type="dxa"/>
            <w:left w:w="108" w:type="dxa"/>
            <w:bottom w:w="0" w:type="dxa"/>
            <w:right w:w="108" w:type="dxa"/>
          </w:tblCellMar>
        </w:tblPrEx>
        <w:trPr>
          <w:trHeight w:val="90" w:hRule="atLeast"/>
        </w:trPr>
        <w:tc>
          <w:tcPr>
            <w:tcW w:w="978" w:type="dxa"/>
            <w:tcBorders>
              <w:top w:val="nil"/>
              <w:left w:val="single" w:color="000000" w:sz="4" w:space="0"/>
              <w:bottom w:val="single" w:color="000000" w:sz="4" w:space="0"/>
              <w:right w:val="single" w:color="000000" w:sz="4" w:space="0"/>
            </w:tcBorders>
            <w:shd w:val="clear" w:color="auto" w:fill="FBD4B4"/>
            <w:vAlign w:val="center"/>
          </w:tcPr>
          <w:p>
            <w:pPr>
              <w:widowControl/>
              <w:jc w:val="center"/>
              <w:rPr>
                <w:rFonts w:eastAsia="黑体"/>
                <w:kern w:val="0"/>
                <w:sz w:val="18"/>
                <w:szCs w:val="18"/>
              </w:rPr>
            </w:pPr>
            <w:r>
              <w:rPr>
                <w:rFonts w:eastAsia="黑体"/>
                <w:kern w:val="0"/>
                <w:sz w:val="18"/>
                <w:szCs w:val="18"/>
              </w:rPr>
              <w:t>2022年</w:t>
            </w:r>
          </w:p>
        </w:tc>
        <w:tc>
          <w:tcPr>
            <w:tcW w:w="1678" w:type="dxa"/>
            <w:tcBorders>
              <w:top w:val="nil"/>
              <w:left w:val="nil"/>
              <w:bottom w:val="single" w:color="000000" w:sz="4" w:space="0"/>
              <w:right w:val="single" w:color="000000" w:sz="4" w:space="0"/>
            </w:tcBorders>
            <w:shd w:val="clear" w:color="auto" w:fill="FDEADA"/>
            <w:vAlign w:val="center"/>
          </w:tcPr>
          <w:p>
            <w:pPr>
              <w:widowControl/>
              <w:spacing w:line="260" w:lineRule="exact"/>
              <w:jc w:val="center"/>
              <w:rPr>
                <w:rFonts w:eastAsia="黑体"/>
                <w:kern w:val="0"/>
                <w:sz w:val="18"/>
                <w:szCs w:val="18"/>
              </w:rPr>
            </w:pPr>
            <w:r>
              <w:rPr>
                <w:rFonts w:eastAsia="黑体"/>
                <w:kern w:val="0"/>
                <w:sz w:val="18"/>
                <w:szCs w:val="18"/>
              </w:rPr>
              <w:t>市政消火栓数（个）</w:t>
            </w:r>
          </w:p>
        </w:tc>
        <w:tc>
          <w:tcPr>
            <w:tcW w:w="9876" w:type="dxa"/>
            <w:tcBorders>
              <w:top w:val="nil"/>
              <w:left w:val="nil"/>
              <w:bottom w:val="single" w:color="000000" w:sz="4" w:space="0"/>
              <w:right w:val="single" w:color="000000" w:sz="4" w:space="0"/>
            </w:tcBorders>
            <w:shd w:val="clear" w:color="auto" w:fill="FDEADA"/>
            <w:vAlign w:val="center"/>
          </w:tcPr>
          <w:p>
            <w:pPr>
              <w:widowControl/>
              <w:jc w:val="center"/>
              <w:textAlignment w:val="center"/>
              <w:rPr>
                <w:rFonts w:eastAsia="仿宋"/>
                <w:kern w:val="0"/>
                <w:sz w:val="21"/>
                <w:szCs w:val="21"/>
              </w:rPr>
            </w:pPr>
            <w:r>
              <w:rPr>
                <w:rFonts w:eastAsia="仿宋"/>
                <w:kern w:val="0"/>
                <w:sz w:val="21"/>
                <w:szCs w:val="21"/>
                <w:lang w:val="en-US"/>
              </w:rPr>
              <w:t>0</w:t>
            </w:r>
          </w:p>
        </w:tc>
        <w:tc>
          <w:tcPr>
            <w:tcW w:w="869" w:type="dxa"/>
            <w:tcBorders>
              <w:top w:val="nil"/>
              <w:left w:val="nil"/>
              <w:bottom w:val="single" w:color="000000" w:sz="4" w:space="0"/>
              <w:right w:val="single" w:color="000000" w:sz="4" w:space="0"/>
            </w:tcBorders>
            <w:shd w:val="clear" w:color="auto" w:fill="FDEADA"/>
            <w:vAlign w:val="center"/>
          </w:tcPr>
          <w:p>
            <w:pPr>
              <w:widowControl/>
              <w:jc w:val="center"/>
              <w:textAlignment w:val="center"/>
              <w:rPr>
                <w:rFonts w:eastAsia="仿宋"/>
                <w:szCs w:val="21"/>
              </w:rPr>
            </w:pPr>
            <w:r>
              <w:rPr>
                <w:rFonts w:eastAsia="仿宋"/>
                <w:szCs w:val="21"/>
                <w:lang w:val="en-US"/>
              </w:rPr>
              <w:t>0</w:t>
            </w:r>
          </w:p>
        </w:tc>
      </w:tr>
      <w:tr>
        <w:tblPrEx>
          <w:tblCellMar>
            <w:top w:w="0" w:type="dxa"/>
            <w:left w:w="108" w:type="dxa"/>
            <w:bottom w:w="0" w:type="dxa"/>
            <w:right w:w="108" w:type="dxa"/>
          </w:tblCellMar>
        </w:tblPrEx>
        <w:trPr>
          <w:trHeight w:val="390" w:hRule="atLeast"/>
        </w:trPr>
        <w:tc>
          <w:tcPr>
            <w:tcW w:w="978" w:type="dxa"/>
            <w:tcBorders>
              <w:top w:val="nil"/>
              <w:left w:val="single" w:color="000000" w:sz="4" w:space="0"/>
              <w:bottom w:val="single" w:color="000000" w:sz="4" w:space="0"/>
              <w:right w:val="single" w:color="000000" w:sz="4" w:space="0"/>
            </w:tcBorders>
            <w:shd w:val="clear" w:color="auto" w:fill="FBD4B4"/>
            <w:vAlign w:val="center"/>
          </w:tcPr>
          <w:p>
            <w:pPr>
              <w:widowControl/>
              <w:jc w:val="center"/>
              <w:rPr>
                <w:rFonts w:eastAsia="黑体"/>
                <w:kern w:val="0"/>
                <w:sz w:val="18"/>
                <w:szCs w:val="18"/>
              </w:rPr>
            </w:pPr>
            <w:r>
              <w:rPr>
                <w:rFonts w:eastAsia="黑体"/>
                <w:kern w:val="0"/>
                <w:sz w:val="18"/>
                <w:szCs w:val="18"/>
              </w:rPr>
              <w:t>2022年</w:t>
            </w:r>
          </w:p>
        </w:tc>
        <w:tc>
          <w:tcPr>
            <w:tcW w:w="1678" w:type="dxa"/>
            <w:tcBorders>
              <w:top w:val="nil"/>
              <w:left w:val="nil"/>
              <w:bottom w:val="single" w:color="000000" w:sz="4" w:space="0"/>
              <w:right w:val="single" w:color="000000" w:sz="4" w:space="0"/>
            </w:tcBorders>
            <w:shd w:val="clear" w:color="auto" w:fill="EBF1DE"/>
            <w:vAlign w:val="center"/>
          </w:tcPr>
          <w:p>
            <w:pPr>
              <w:widowControl/>
              <w:jc w:val="center"/>
              <w:rPr>
                <w:rFonts w:eastAsia="黑体"/>
                <w:kern w:val="0"/>
                <w:sz w:val="18"/>
                <w:szCs w:val="18"/>
              </w:rPr>
            </w:pPr>
            <w:r>
              <w:rPr>
                <w:rFonts w:eastAsia="黑体"/>
                <w:kern w:val="0"/>
                <w:sz w:val="18"/>
                <w:szCs w:val="18"/>
              </w:rPr>
              <w:t>消防水鹤数（个）</w:t>
            </w:r>
          </w:p>
        </w:tc>
        <w:tc>
          <w:tcPr>
            <w:tcW w:w="9876" w:type="dxa"/>
            <w:tcBorders>
              <w:top w:val="nil"/>
              <w:left w:val="nil"/>
              <w:bottom w:val="single" w:color="000000" w:sz="4" w:space="0"/>
              <w:right w:val="single" w:color="000000" w:sz="4" w:space="0"/>
            </w:tcBorders>
            <w:shd w:val="clear" w:color="auto" w:fill="EBF1DE"/>
            <w:vAlign w:val="center"/>
          </w:tcPr>
          <w:p>
            <w:pPr>
              <w:widowControl/>
              <w:jc w:val="center"/>
              <w:textAlignment w:val="center"/>
              <w:rPr>
                <w:rFonts w:eastAsia="仿宋"/>
                <w:kern w:val="0"/>
                <w:sz w:val="21"/>
                <w:szCs w:val="21"/>
              </w:rPr>
            </w:pPr>
            <w:r>
              <w:rPr>
                <w:rFonts w:eastAsia="仿宋"/>
                <w:kern w:val="0"/>
                <w:sz w:val="21"/>
                <w:szCs w:val="21"/>
                <w:lang w:val="en-US"/>
              </w:rPr>
              <w:t>0</w:t>
            </w:r>
          </w:p>
        </w:tc>
        <w:tc>
          <w:tcPr>
            <w:tcW w:w="869" w:type="dxa"/>
            <w:tcBorders>
              <w:top w:val="nil"/>
              <w:left w:val="nil"/>
              <w:bottom w:val="single" w:color="000000" w:sz="4" w:space="0"/>
              <w:right w:val="single" w:color="000000" w:sz="4" w:space="0"/>
            </w:tcBorders>
            <w:shd w:val="clear" w:color="auto" w:fill="EBF1DE"/>
            <w:vAlign w:val="center"/>
          </w:tcPr>
          <w:p>
            <w:pPr>
              <w:widowControl/>
              <w:jc w:val="center"/>
              <w:textAlignment w:val="center"/>
              <w:rPr>
                <w:rFonts w:eastAsia="仿宋"/>
                <w:kern w:val="0"/>
                <w:szCs w:val="21"/>
              </w:rPr>
            </w:pPr>
            <w:r>
              <w:rPr>
                <w:rFonts w:eastAsia="仿宋"/>
                <w:kern w:val="0"/>
                <w:szCs w:val="21"/>
                <w:lang w:val="en-US"/>
              </w:rPr>
              <w:t>0</w:t>
            </w:r>
          </w:p>
        </w:tc>
      </w:tr>
      <w:tr>
        <w:tblPrEx>
          <w:tblCellMar>
            <w:top w:w="0" w:type="dxa"/>
            <w:left w:w="108" w:type="dxa"/>
            <w:bottom w:w="0" w:type="dxa"/>
            <w:right w:w="108" w:type="dxa"/>
          </w:tblCellMar>
        </w:tblPrEx>
        <w:trPr>
          <w:trHeight w:val="390" w:hRule="atLeast"/>
        </w:trPr>
        <w:tc>
          <w:tcPr>
            <w:tcW w:w="978" w:type="dxa"/>
            <w:tcBorders>
              <w:top w:val="nil"/>
              <w:left w:val="single" w:color="000000" w:sz="4" w:space="0"/>
              <w:bottom w:val="single" w:color="000000" w:sz="4" w:space="0"/>
              <w:right w:val="single" w:color="000000" w:sz="4" w:space="0"/>
            </w:tcBorders>
            <w:shd w:val="clear" w:color="auto" w:fill="FABF8F"/>
            <w:vAlign w:val="center"/>
          </w:tcPr>
          <w:p>
            <w:pPr>
              <w:widowControl/>
              <w:jc w:val="center"/>
              <w:rPr>
                <w:rFonts w:eastAsia="黑体"/>
                <w:kern w:val="0"/>
                <w:sz w:val="18"/>
                <w:szCs w:val="18"/>
              </w:rPr>
            </w:pPr>
            <w:r>
              <w:rPr>
                <w:rFonts w:eastAsia="黑体"/>
                <w:kern w:val="0"/>
                <w:sz w:val="18"/>
                <w:szCs w:val="18"/>
              </w:rPr>
              <w:t>2023年</w:t>
            </w:r>
          </w:p>
        </w:tc>
        <w:tc>
          <w:tcPr>
            <w:tcW w:w="1678" w:type="dxa"/>
            <w:tcBorders>
              <w:top w:val="nil"/>
              <w:left w:val="nil"/>
              <w:bottom w:val="single" w:color="000000" w:sz="4" w:space="0"/>
              <w:right w:val="single" w:color="000000" w:sz="4" w:space="0"/>
            </w:tcBorders>
            <w:shd w:val="clear" w:color="auto" w:fill="FDEADA"/>
            <w:vAlign w:val="center"/>
          </w:tcPr>
          <w:p>
            <w:pPr>
              <w:widowControl/>
              <w:spacing w:line="260" w:lineRule="exact"/>
              <w:jc w:val="center"/>
              <w:rPr>
                <w:rFonts w:eastAsia="黑体"/>
                <w:kern w:val="0"/>
                <w:sz w:val="18"/>
                <w:szCs w:val="18"/>
              </w:rPr>
            </w:pPr>
            <w:r>
              <w:rPr>
                <w:rFonts w:eastAsia="黑体"/>
                <w:kern w:val="0"/>
                <w:sz w:val="18"/>
                <w:szCs w:val="18"/>
              </w:rPr>
              <w:t>市政消火栓数（个）</w:t>
            </w:r>
          </w:p>
        </w:tc>
        <w:tc>
          <w:tcPr>
            <w:tcW w:w="9876" w:type="dxa"/>
            <w:tcBorders>
              <w:top w:val="nil"/>
              <w:left w:val="nil"/>
              <w:bottom w:val="single" w:color="000000" w:sz="4" w:space="0"/>
              <w:right w:val="single" w:color="000000" w:sz="4" w:space="0"/>
            </w:tcBorders>
            <w:shd w:val="clear" w:color="auto" w:fill="FDEADA"/>
            <w:vAlign w:val="center"/>
          </w:tcPr>
          <w:p>
            <w:pPr>
              <w:widowControl/>
              <w:jc w:val="center"/>
              <w:textAlignment w:val="center"/>
              <w:rPr>
                <w:rFonts w:eastAsia="仿宋"/>
                <w:kern w:val="0"/>
                <w:sz w:val="21"/>
                <w:szCs w:val="21"/>
              </w:rPr>
            </w:pPr>
            <w:r>
              <w:rPr>
                <w:rFonts w:eastAsia="仿宋"/>
                <w:kern w:val="0"/>
                <w:sz w:val="21"/>
                <w:szCs w:val="21"/>
                <w:lang w:val="en-US"/>
              </w:rPr>
              <w:t>30</w:t>
            </w:r>
          </w:p>
        </w:tc>
        <w:tc>
          <w:tcPr>
            <w:tcW w:w="869" w:type="dxa"/>
            <w:tcBorders>
              <w:top w:val="nil"/>
              <w:left w:val="nil"/>
              <w:bottom w:val="single" w:color="000000" w:sz="4" w:space="0"/>
              <w:right w:val="single" w:color="000000" w:sz="4" w:space="0"/>
            </w:tcBorders>
            <w:shd w:val="clear" w:color="auto" w:fill="FDEADA"/>
            <w:vAlign w:val="center"/>
          </w:tcPr>
          <w:p>
            <w:pPr>
              <w:widowControl/>
              <w:jc w:val="center"/>
              <w:textAlignment w:val="center"/>
              <w:rPr>
                <w:rFonts w:eastAsia="仿宋"/>
                <w:szCs w:val="21"/>
              </w:rPr>
            </w:pPr>
            <w:r>
              <w:rPr>
                <w:rFonts w:eastAsia="仿宋"/>
                <w:kern w:val="0"/>
                <w:sz w:val="21"/>
                <w:szCs w:val="21"/>
                <w:lang w:val="en-US"/>
              </w:rPr>
              <w:t>3</w:t>
            </w:r>
            <w:r>
              <w:rPr>
                <w:rFonts w:eastAsia="仿宋"/>
                <w:kern w:val="0"/>
                <w:sz w:val="21"/>
                <w:szCs w:val="21"/>
              </w:rPr>
              <w:t>0</w:t>
            </w:r>
          </w:p>
        </w:tc>
      </w:tr>
      <w:tr>
        <w:tblPrEx>
          <w:tblCellMar>
            <w:top w:w="0" w:type="dxa"/>
            <w:left w:w="108" w:type="dxa"/>
            <w:bottom w:w="0" w:type="dxa"/>
            <w:right w:w="108" w:type="dxa"/>
          </w:tblCellMar>
        </w:tblPrEx>
        <w:trPr>
          <w:trHeight w:val="390" w:hRule="atLeast"/>
        </w:trPr>
        <w:tc>
          <w:tcPr>
            <w:tcW w:w="978" w:type="dxa"/>
            <w:tcBorders>
              <w:top w:val="nil"/>
              <w:left w:val="single" w:color="000000" w:sz="4" w:space="0"/>
              <w:bottom w:val="single" w:color="000000" w:sz="4" w:space="0"/>
              <w:right w:val="single" w:color="000000" w:sz="4" w:space="0"/>
            </w:tcBorders>
            <w:shd w:val="clear" w:color="auto" w:fill="FABF8F"/>
            <w:vAlign w:val="center"/>
          </w:tcPr>
          <w:p>
            <w:pPr>
              <w:widowControl/>
              <w:jc w:val="center"/>
              <w:rPr>
                <w:rFonts w:eastAsia="黑体"/>
                <w:kern w:val="0"/>
                <w:sz w:val="18"/>
                <w:szCs w:val="18"/>
              </w:rPr>
            </w:pPr>
            <w:r>
              <w:rPr>
                <w:rFonts w:eastAsia="黑体"/>
                <w:kern w:val="0"/>
                <w:sz w:val="18"/>
                <w:szCs w:val="18"/>
              </w:rPr>
              <w:t>2023年</w:t>
            </w:r>
          </w:p>
        </w:tc>
        <w:tc>
          <w:tcPr>
            <w:tcW w:w="1678" w:type="dxa"/>
            <w:tcBorders>
              <w:top w:val="nil"/>
              <w:left w:val="nil"/>
              <w:bottom w:val="single" w:color="000000" w:sz="4" w:space="0"/>
              <w:right w:val="single" w:color="000000" w:sz="4" w:space="0"/>
            </w:tcBorders>
            <w:shd w:val="clear" w:color="auto" w:fill="EBF1DE"/>
            <w:vAlign w:val="center"/>
          </w:tcPr>
          <w:p>
            <w:pPr>
              <w:widowControl/>
              <w:jc w:val="center"/>
              <w:rPr>
                <w:rFonts w:eastAsia="黑体"/>
                <w:kern w:val="0"/>
                <w:sz w:val="18"/>
                <w:szCs w:val="18"/>
              </w:rPr>
            </w:pPr>
            <w:r>
              <w:rPr>
                <w:rFonts w:eastAsia="黑体"/>
                <w:kern w:val="0"/>
                <w:sz w:val="18"/>
                <w:szCs w:val="18"/>
              </w:rPr>
              <w:t>消防水鹤数（个）</w:t>
            </w:r>
          </w:p>
        </w:tc>
        <w:tc>
          <w:tcPr>
            <w:tcW w:w="9876" w:type="dxa"/>
            <w:tcBorders>
              <w:top w:val="nil"/>
              <w:left w:val="nil"/>
              <w:bottom w:val="single" w:color="000000" w:sz="4" w:space="0"/>
              <w:right w:val="single" w:color="000000" w:sz="4" w:space="0"/>
            </w:tcBorders>
            <w:shd w:val="clear" w:color="auto" w:fill="EBF1DE"/>
            <w:vAlign w:val="center"/>
          </w:tcPr>
          <w:p>
            <w:pPr>
              <w:widowControl/>
              <w:jc w:val="center"/>
              <w:textAlignment w:val="center"/>
              <w:rPr>
                <w:rFonts w:eastAsia="仿宋"/>
                <w:kern w:val="0"/>
                <w:sz w:val="21"/>
                <w:szCs w:val="21"/>
              </w:rPr>
            </w:pPr>
            <w:r>
              <w:rPr>
                <w:rFonts w:eastAsia="仿宋"/>
                <w:kern w:val="0"/>
                <w:sz w:val="21"/>
                <w:szCs w:val="21"/>
                <w:lang w:val="en-US"/>
              </w:rPr>
              <w:t>2</w:t>
            </w:r>
          </w:p>
        </w:tc>
        <w:tc>
          <w:tcPr>
            <w:tcW w:w="869" w:type="dxa"/>
            <w:tcBorders>
              <w:top w:val="nil"/>
              <w:left w:val="nil"/>
              <w:bottom w:val="single" w:color="000000" w:sz="4" w:space="0"/>
              <w:right w:val="single" w:color="000000" w:sz="4" w:space="0"/>
            </w:tcBorders>
            <w:shd w:val="clear" w:color="auto" w:fill="EBF1DE"/>
            <w:vAlign w:val="center"/>
          </w:tcPr>
          <w:p>
            <w:pPr>
              <w:widowControl/>
              <w:jc w:val="center"/>
              <w:textAlignment w:val="center"/>
              <w:rPr>
                <w:rFonts w:eastAsia="仿宋"/>
                <w:kern w:val="0"/>
                <w:sz w:val="21"/>
                <w:szCs w:val="21"/>
              </w:rPr>
            </w:pPr>
            <w:r>
              <w:rPr>
                <w:rFonts w:eastAsia="仿宋"/>
                <w:kern w:val="0"/>
                <w:sz w:val="21"/>
                <w:szCs w:val="21"/>
                <w:lang w:val="en-US"/>
              </w:rPr>
              <w:t>2</w:t>
            </w:r>
          </w:p>
        </w:tc>
      </w:tr>
      <w:tr>
        <w:tblPrEx>
          <w:tblCellMar>
            <w:top w:w="0" w:type="dxa"/>
            <w:left w:w="108" w:type="dxa"/>
            <w:bottom w:w="0" w:type="dxa"/>
            <w:right w:w="108" w:type="dxa"/>
          </w:tblCellMar>
        </w:tblPrEx>
        <w:trPr>
          <w:trHeight w:val="390" w:hRule="atLeast"/>
        </w:trPr>
        <w:tc>
          <w:tcPr>
            <w:tcW w:w="978" w:type="dxa"/>
            <w:tcBorders>
              <w:top w:val="nil"/>
              <w:left w:val="single" w:color="000000" w:sz="4" w:space="0"/>
              <w:bottom w:val="single" w:color="000000" w:sz="4" w:space="0"/>
              <w:right w:val="single" w:color="000000" w:sz="4" w:space="0"/>
            </w:tcBorders>
            <w:shd w:val="clear" w:color="auto" w:fill="E36C0A"/>
            <w:vAlign w:val="center"/>
          </w:tcPr>
          <w:p>
            <w:pPr>
              <w:widowControl/>
              <w:jc w:val="center"/>
              <w:rPr>
                <w:rFonts w:eastAsia="黑体"/>
                <w:kern w:val="0"/>
                <w:sz w:val="18"/>
                <w:szCs w:val="18"/>
              </w:rPr>
            </w:pPr>
            <w:r>
              <w:rPr>
                <w:rFonts w:eastAsia="黑体"/>
                <w:kern w:val="0"/>
                <w:sz w:val="18"/>
                <w:szCs w:val="18"/>
              </w:rPr>
              <w:t>2024年</w:t>
            </w:r>
          </w:p>
        </w:tc>
        <w:tc>
          <w:tcPr>
            <w:tcW w:w="1678" w:type="dxa"/>
            <w:tcBorders>
              <w:top w:val="nil"/>
              <w:left w:val="nil"/>
              <w:bottom w:val="single" w:color="000000" w:sz="4" w:space="0"/>
              <w:right w:val="single" w:color="000000" w:sz="4" w:space="0"/>
            </w:tcBorders>
            <w:shd w:val="clear" w:color="auto" w:fill="FDEADA"/>
            <w:vAlign w:val="center"/>
          </w:tcPr>
          <w:p>
            <w:pPr>
              <w:widowControl/>
              <w:spacing w:line="260" w:lineRule="exact"/>
              <w:jc w:val="center"/>
              <w:rPr>
                <w:rFonts w:eastAsia="黑体"/>
                <w:kern w:val="0"/>
                <w:sz w:val="18"/>
                <w:szCs w:val="18"/>
              </w:rPr>
            </w:pPr>
            <w:r>
              <w:rPr>
                <w:rFonts w:eastAsia="黑体"/>
                <w:kern w:val="0"/>
                <w:sz w:val="18"/>
                <w:szCs w:val="18"/>
              </w:rPr>
              <w:t>市政消火栓数（个）</w:t>
            </w:r>
          </w:p>
        </w:tc>
        <w:tc>
          <w:tcPr>
            <w:tcW w:w="9876" w:type="dxa"/>
            <w:tcBorders>
              <w:top w:val="nil"/>
              <w:left w:val="nil"/>
              <w:bottom w:val="single" w:color="000000" w:sz="4" w:space="0"/>
              <w:right w:val="single" w:color="000000" w:sz="4" w:space="0"/>
            </w:tcBorders>
            <w:shd w:val="clear" w:color="auto" w:fill="FDEADA"/>
            <w:vAlign w:val="center"/>
          </w:tcPr>
          <w:p>
            <w:pPr>
              <w:widowControl/>
              <w:jc w:val="center"/>
              <w:textAlignment w:val="center"/>
              <w:rPr>
                <w:rFonts w:eastAsia="仿宋"/>
                <w:kern w:val="0"/>
                <w:sz w:val="21"/>
                <w:szCs w:val="21"/>
              </w:rPr>
            </w:pPr>
            <w:r>
              <w:rPr>
                <w:rFonts w:eastAsia="仿宋"/>
                <w:kern w:val="0"/>
                <w:sz w:val="21"/>
                <w:szCs w:val="21"/>
                <w:lang w:val="en-US"/>
              </w:rPr>
              <w:t>40</w:t>
            </w:r>
          </w:p>
        </w:tc>
        <w:tc>
          <w:tcPr>
            <w:tcW w:w="869" w:type="dxa"/>
            <w:tcBorders>
              <w:top w:val="nil"/>
              <w:left w:val="nil"/>
              <w:bottom w:val="single" w:color="000000" w:sz="4" w:space="0"/>
              <w:right w:val="single" w:color="000000" w:sz="4" w:space="0"/>
            </w:tcBorders>
            <w:shd w:val="clear" w:color="auto" w:fill="FDEADA"/>
            <w:vAlign w:val="center"/>
          </w:tcPr>
          <w:p>
            <w:pPr>
              <w:widowControl/>
              <w:jc w:val="center"/>
              <w:textAlignment w:val="center"/>
              <w:rPr>
                <w:rFonts w:eastAsia="仿宋"/>
                <w:kern w:val="0"/>
                <w:sz w:val="21"/>
                <w:szCs w:val="21"/>
              </w:rPr>
            </w:pPr>
            <w:r>
              <w:rPr>
                <w:rFonts w:eastAsia="仿宋"/>
                <w:kern w:val="0"/>
                <w:sz w:val="21"/>
                <w:szCs w:val="21"/>
                <w:lang w:val="en-US"/>
              </w:rPr>
              <w:t>40</w:t>
            </w:r>
          </w:p>
        </w:tc>
      </w:tr>
      <w:tr>
        <w:tblPrEx>
          <w:tblCellMar>
            <w:top w:w="0" w:type="dxa"/>
            <w:left w:w="108" w:type="dxa"/>
            <w:bottom w:w="0" w:type="dxa"/>
            <w:right w:w="108" w:type="dxa"/>
          </w:tblCellMar>
        </w:tblPrEx>
        <w:trPr>
          <w:trHeight w:val="390" w:hRule="atLeast"/>
        </w:trPr>
        <w:tc>
          <w:tcPr>
            <w:tcW w:w="978" w:type="dxa"/>
            <w:tcBorders>
              <w:top w:val="nil"/>
              <w:left w:val="single" w:color="000000" w:sz="4" w:space="0"/>
              <w:bottom w:val="single" w:color="000000" w:sz="4" w:space="0"/>
              <w:right w:val="single" w:color="000000" w:sz="4" w:space="0"/>
            </w:tcBorders>
            <w:shd w:val="clear" w:color="auto" w:fill="E36C0A"/>
            <w:vAlign w:val="center"/>
          </w:tcPr>
          <w:p>
            <w:pPr>
              <w:widowControl/>
              <w:jc w:val="center"/>
              <w:rPr>
                <w:rFonts w:eastAsia="黑体"/>
                <w:kern w:val="0"/>
                <w:sz w:val="18"/>
                <w:szCs w:val="18"/>
              </w:rPr>
            </w:pPr>
            <w:r>
              <w:rPr>
                <w:rFonts w:eastAsia="黑体"/>
                <w:kern w:val="0"/>
                <w:sz w:val="18"/>
                <w:szCs w:val="18"/>
              </w:rPr>
              <w:t>2024年</w:t>
            </w:r>
          </w:p>
        </w:tc>
        <w:tc>
          <w:tcPr>
            <w:tcW w:w="1678" w:type="dxa"/>
            <w:tcBorders>
              <w:top w:val="nil"/>
              <w:left w:val="nil"/>
              <w:bottom w:val="single" w:color="000000" w:sz="4" w:space="0"/>
              <w:right w:val="single" w:color="000000" w:sz="4" w:space="0"/>
            </w:tcBorders>
            <w:shd w:val="clear" w:color="auto" w:fill="EBF1DE"/>
            <w:vAlign w:val="center"/>
          </w:tcPr>
          <w:p>
            <w:pPr>
              <w:widowControl/>
              <w:jc w:val="center"/>
              <w:rPr>
                <w:rFonts w:eastAsia="黑体"/>
                <w:kern w:val="0"/>
                <w:sz w:val="18"/>
                <w:szCs w:val="18"/>
              </w:rPr>
            </w:pPr>
            <w:r>
              <w:rPr>
                <w:rFonts w:eastAsia="黑体"/>
                <w:kern w:val="0"/>
                <w:sz w:val="18"/>
                <w:szCs w:val="18"/>
              </w:rPr>
              <w:t>消防水鹤数（个）</w:t>
            </w:r>
          </w:p>
        </w:tc>
        <w:tc>
          <w:tcPr>
            <w:tcW w:w="9876" w:type="dxa"/>
            <w:tcBorders>
              <w:top w:val="nil"/>
              <w:left w:val="nil"/>
              <w:bottom w:val="single" w:color="000000" w:sz="4" w:space="0"/>
              <w:right w:val="single" w:color="000000" w:sz="4" w:space="0"/>
            </w:tcBorders>
            <w:shd w:val="clear" w:color="auto" w:fill="EBF1DE"/>
            <w:vAlign w:val="center"/>
          </w:tcPr>
          <w:p>
            <w:pPr>
              <w:widowControl/>
              <w:jc w:val="center"/>
              <w:textAlignment w:val="center"/>
              <w:rPr>
                <w:rFonts w:eastAsia="仿宋"/>
                <w:kern w:val="0"/>
                <w:sz w:val="21"/>
                <w:szCs w:val="21"/>
              </w:rPr>
            </w:pPr>
            <w:r>
              <w:rPr>
                <w:rFonts w:eastAsia="仿宋"/>
                <w:kern w:val="0"/>
                <w:sz w:val="21"/>
                <w:szCs w:val="21"/>
              </w:rPr>
              <w:t>1</w:t>
            </w:r>
          </w:p>
        </w:tc>
        <w:tc>
          <w:tcPr>
            <w:tcW w:w="869" w:type="dxa"/>
            <w:tcBorders>
              <w:top w:val="nil"/>
              <w:left w:val="nil"/>
              <w:bottom w:val="single" w:color="000000" w:sz="4" w:space="0"/>
              <w:right w:val="single" w:color="000000" w:sz="4" w:space="0"/>
            </w:tcBorders>
            <w:shd w:val="clear" w:color="auto" w:fill="EBF1DE"/>
            <w:vAlign w:val="center"/>
          </w:tcPr>
          <w:p>
            <w:pPr>
              <w:widowControl/>
              <w:jc w:val="center"/>
              <w:textAlignment w:val="center"/>
              <w:rPr>
                <w:rFonts w:eastAsia="仿宋"/>
                <w:kern w:val="0"/>
                <w:sz w:val="21"/>
                <w:szCs w:val="21"/>
              </w:rPr>
            </w:pPr>
            <w:r>
              <w:rPr>
                <w:rFonts w:eastAsia="仿宋"/>
                <w:kern w:val="0"/>
                <w:sz w:val="21"/>
                <w:szCs w:val="21"/>
              </w:rPr>
              <w:t>1</w:t>
            </w:r>
          </w:p>
        </w:tc>
      </w:tr>
      <w:tr>
        <w:tblPrEx>
          <w:tblCellMar>
            <w:top w:w="0" w:type="dxa"/>
            <w:left w:w="108" w:type="dxa"/>
            <w:bottom w:w="0" w:type="dxa"/>
            <w:right w:w="108" w:type="dxa"/>
          </w:tblCellMar>
        </w:tblPrEx>
        <w:trPr>
          <w:trHeight w:val="390" w:hRule="atLeast"/>
        </w:trPr>
        <w:tc>
          <w:tcPr>
            <w:tcW w:w="978" w:type="dxa"/>
            <w:tcBorders>
              <w:top w:val="nil"/>
              <w:left w:val="single" w:color="000000" w:sz="4" w:space="0"/>
              <w:bottom w:val="single" w:color="000000" w:sz="4" w:space="0"/>
              <w:right w:val="single" w:color="000000" w:sz="4" w:space="0"/>
            </w:tcBorders>
            <w:shd w:val="clear" w:color="auto" w:fill="974706"/>
            <w:vAlign w:val="center"/>
          </w:tcPr>
          <w:p>
            <w:pPr>
              <w:widowControl/>
              <w:jc w:val="center"/>
              <w:rPr>
                <w:rFonts w:eastAsia="黑体"/>
                <w:kern w:val="0"/>
                <w:sz w:val="18"/>
                <w:szCs w:val="18"/>
              </w:rPr>
            </w:pPr>
            <w:r>
              <w:rPr>
                <w:rFonts w:eastAsia="黑体"/>
                <w:kern w:val="0"/>
                <w:sz w:val="18"/>
                <w:szCs w:val="18"/>
              </w:rPr>
              <w:t>2025年</w:t>
            </w:r>
          </w:p>
        </w:tc>
        <w:tc>
          <w:tcPr>
            <w:tcW w:w="1678" w:type="dxa"/>
            <w:tcBorders>
              <w:top w:val="nil"/>
              <w:left w:val="nil"/>
              <w:bottom w:val="single" w:color="000000" w:sz="4" w:space="0"/>
              <w:right w:val="single" w:color="000000" w:sz="4" w:space="0"/>
            </w:tcBorders>
            <w:shd w:val="clear" w:color="auto" w:fill="FDEADA"/>
            <w:vAlign w:val="center"/>
          </w:tcPr>
          <w:p>
            <w:pPr>
              <w:widowControl/>
              <w:spacing w:line="260" w:lineRule="exact"/>
              <w:jc w:val="center"/>
              <w:rPr>
                <w:rFonts w:eastAsia="黑体"/>
                <w:kern w:val="0"/>
                <w:sz w:val="18"/>
                <w:szCs w:val="18"/>
              </w:rPr>
            </w:pPr>
            <w:r>
              <w:rPr>
                <w:rFonts w:eastAsia="黑体"/>
                <w:kern w:val="0"/>
                <w:sz w:val="18"/>
                <w:szCs w:val="18"/>
              </w:rPr>
              <w:t>市政消火栓数（个）</w:t>
            </w:r>
          </w:p>
        </w:tc>
        <w:tc>
          <w:tcPr>
            <w:tcW w:w="9876" w:type="dxa"/>
            <w:tcBorders>
              <w:top w:val="nil"/>
              <w:left w:val="nil"/>
              <w:bottom w:val="single" w:color="000000" w:sz="4" w:space="0"/>
              <w:right w:val="single" w:color="000000" w:sz="4" w:space="0"/>
            </w:tcBorders>
            <w:shd w:val="clear" w:color="auto" w:fill="FDEADA"/>
            <w:vAlign w:val="center"/>
          </w:tcPr>
          <w:p>
            <w:pPr>
              <w:widowControl/>
              <w:jc w:val="center"/>
              <w:textAlignment w:val="center"/>
              <w:rPr>
                <w:rFonts w:eastAsia="仿宋"/>
                <w:kern w:val="0"/>
                <w:sz w:val="21"/>
                <w:szCs w:val="21"/>
              </w:rPr>
            </w:pPr>
            <w:r>
              <w:rPr>
                <w:rFonts w:eastAsia="仿宋"/>
                <w:kern w:val="0"/>
                <w:sz w:val="21"/>
                <w:szCs w:val="21"/>
                <w:lang w:val="en-US"/>
              </w:rPr>
              <w:t>30</w:t>
            </w:r>
          </w:p>
        </w:tc>
        <w:tc>
          <w:tcPr>
            <w:tcW w:w="869" w:type="dxa"/>
            <w:tcBorders>
              <w:top w:val="nil"/>
              <w:left w:val="nil"/>
              <w:bottom w:val="single" w:color="000000" w:sz="4" w:space="0"/>
              <w:right w:val="single" w:color="000000" w:sz="4" w:space="0"/>
            </w:tcBorders>
            <w:shd w:val="clear" w:color="auto" w:fill="FDEADA"/>
            <w:vAlign w:val="center"/>
          </w:tcPr>
          <w:p>
            <w:pPr>
              <w:widowControl/>
              <w:jc w:val="center"/>
              <w:textAlignment w:val="center"/>
              <w:rPr>
                <w:rFonts w:eastAsia="仿宋"/>
                <w:kern w:val="0"/>
                <w:sz w:val="21"/>
                <w:szCs w:val="21"/>
              </w:rPr>
            </w:pPr>
            <w:r>
              <w:rPr>
                <w:rFonts w:eastAsia="仿宋"/>
                <w:kern w:val="0"/>
                <w:sz w:val="21"/>
                <w:szCs w:val="21"/>
                <w:lang w:val="en-US"/>
              </w:rPr>
              <w:t>3</w:t>
            </w:r>
            <w:r>
              <w:rPr>
                <w:rFonts w:eastAsia="仿宋"/>
                <w:kern w:val="0"/>
                <w:sz w:val="21"/>
                <w:szCs w:val="21"/>
              </w:rPr>
              <w:t>0</w:t>
            </w:r>
          </w:p>
        </w:tc>
      </w:tr>
      <w:tr>
        <w:tblPrEx>
          <w:tblCellMar>
            <w:top w:w="0" w:type="dxa"/>
            <w:left w:w="108" w:type="dxa"/>
            <w:bottom w:w="0" w:type="dxa"/>
            <w:right w:w="108" w:type="dxa"/>
          </w:tblCellMar>
        </w:tblPrEx>
        <w:trPr>
          <w:trHeight w:val="390" w:hRule="atLeast"/>
        </w:trPr>
        <w:tc>
          <w:tcPr>
            <w:tcW w:w="978" w:type="dxa"/>
            <w:tcBorders>
              <w:top w:val="nil"/>
              <w:left w:val="single" w:color="000000" w:sz="4" w:space="0"/>
              <w:bottom w:val="single" w:color="auto" w:sz="4" w:space="0"/>
              <w:right w:val="single" w:color="000000" w:sz="4" w:space="0"/>
            </w:tcBorders>
            <w:shd w:val="clear" w:color="auto" w:fill="974706"/>
            <w:vAlign w:val="center"/>
          </w:tcPr>
          <w:p>
            <w:pPr>
              <w:widowControl/>
              <w:jc w:val="center"/>
              <w:rPr>
                <w:rFonts w:eastAsia="黑体"/>
                <w:kern w:val="0"/>
                <w:sz w:val="18"/>
                <w:szCs w:val="18"/>
              </w:rPr>
            </w:pPr>
            <w:r>
              <w:rPr>
                <w:rFonts w:eastAsia="黑体"/>
                <w:kern w:val="0"/>
                <w:sz w:val="18"/>
                <w:szCs w:val="18"/>
              </w:rPr>
              <w:t>2025年</w:t>
            </w:r>
          </w:p>
        </w:tc>
        <w:tc>
          <w:tcPr>
            <w:tcW w:w="1678" w:type="dxa"/>
            <w:tcBorders>
              <w:top w:val="nil"/>
              <w:left w:val="nil"/>
              <w:bottom w:val="single" w:color="auto" w:sz="4" w:space="0"/>
              <w:right w:val="single" w:color="000000" w:sz="4" w:space="0"/>
            </w:tcBorders>
            <w:shd w:val="clear" w:color="auto" w:fill="EBF1DE"/>
            <w:vAlign w:val="center"/>
          </w:tcPr>
          <w:p>
            <w:pPr>
              <w:widowControl/>
              <w:jc w:val="center"/>
              <w:rPr>
                <w:rFonts w:eastAsia="黑体"/>
                <w:kern w:val="0"/>
                <w:sz w:val="18"/>
                <w:szCs w:val="18"/>
              </w:rPr>
            </w:pPr>
            <w:r>
              <w:rPr>
                <w:rFonts w:eastAsia="黑体"/>
                <w:kern w:val="0"/>
                <w:sz w:val="18"/>
                <w:szCs w:val="18"/>
              </w:rPr>
              <w:t>消防水鹤数（个）</w:t>
            </w:r>
          </w:p>
        </w:tc>
        <w:tc>
          <w:tcPr>
            <w:tcW w:w="9876" w:type="dxa"/>
            <w:tcBorders>
              <w:top w:val="nil"/>
              <w:left w:val="nil"/>
              <w:bottom w:val="single" w:color="auto" w:sz="4" w:space="0"/>
              <w:right w:val="single" w:color="000000" w:sz="4" w:space="0"/>
            </w:tcBorders>
            <w:shd w:val="clear" w:color="auto" w:fill="EBF1DE"/>
            <w:vAlign w:val="center"/>
          </w:tcPr>
          <w:p>
            <w:pPr>
              <w:widowControl/>
              <w:jc w:val="center"/>
              <w:textAlignment w:val="center"/>
              <w:rPr>
                <w:rFonts w:eastAsia="仿宋"/>
                <w:kern w:val="0"/>
                <w:sz w:val="21"/>
                <w:szCs w:val="21"/>
              </w:rPr>
            </w:pPr>
            <w:r>
              <w:rPr>
                <w:rFonts w:eastAsia="仿宋"/>
                <w:kern w:val="0"/>
                <w:sz w:val="21"/>
                <w:szCs w:val="21"/>
              </w:rPr>
              <w:t>1</w:t>
            </w:r>
          </w:p>
        </w:tc>
        <w:tc>
          <w:tcPr>
            <w:tcW w:w="869" w:type="dxa"/>
            <w:tcBorders>
              <w:top w:val="nil"/>
              <w:left w:val="nil"/>
              <w:bottom w:val="single" w:color="auto" w:sz="4" w:space="0"/>
              <w:right w:val="single" w:color="000000" w:sz="4" w:space="0"/>
            </w:tcBorders>
            <w:shd w:val="clear" w:color="auto" w:fill="EBF1DE"/>
            <w:vAlign w:val="center"/>
          </w:tcPr>
          <w:p>
            <w:pPr>
              <w:widowControl/>
              <w:jc w:val="center"/>
              <w:textAlignment w:val="center"/>
              <w:rPr>
                <w:rFonts w:eastAsia="仿宋"/>
                <w:kern w:val="0"/>
                <w:sz w:val="21"/>
                <w:szCs w:val="21"/>
              </w:rPr>
            </w:pPr>
            <w:r>
              <w:rPr>
                <w:rFonts w:eastAsia="仿宋"/>
                <w:kern w:val="0"/>
                <w:sz w:val="21"/>
                <w:szCs w:val="21"/>
              </w:rPr>
              <w:t>1</w:t>
            </w:r>
          </w:p>
        </w:tc>
      </w:tr>
      <w:tr>
        <w:tblPrEx>
          <w:tblCellMar>
            <w:top w:w="0" w:type="dxa"/>
            <w:left w:w="108" w:type="dxa"/>
            <w:bottom w:w="0" w:type="dxa"/>
            <w:right w:w="108" w:type="dxa"/>
          </w:tblCellMar>
        </w:tblPrEx>
        <w:trPr>
          <w:trHeight w:val="390" w:hRule="atLeast"/>
        </w:trPr>
        <w:tc>
          <w:tcPr>
            <w:tcW w:w="978" w:type="dxa"/>
            <w:tcBorders>
              <w:top w:val="single" w:color="auto" w:sz="4" w:space="0"/>
              <w:left w:val="single" w:color="auto" w:sz="4" w:space="0"/>
              <w:bottom w:val="single" w:color="auto" w:sz="4" w:space="0"/>
              <w:right w:val="single" w:color="000000" w:sz="4" w:space="0"/>
            </w:tcBorders>
            <w:shd w:val="clear" w:color="auto" w:fill="DBEEF3"/>
            <w:vAlign w:val="center"/>
          </w:tcPr>
          <w:p>
            <w:pPr>
              <w:widowControl/>
              <w:spacing w:line="240" w:lineRule="exact"/>
              <w:jc w:val="center"/>
              <w:rPr>
                <w:rFonts w:eastAsia="黑体"/>
                <w:kern w:val="0"/>
                <w:sz w:val="18"/>
                <w:szCs w:val="18"/>
              </w:rPr>
            </w:pPr>
            <w:r>
              <w:rPr>
                <w:rFonts w:eastAsia="黑体"/>
                <w:kern w:val="0"/>
                <w:sz w:val="18"/>
                <w:szCs w:val="18"/>
              </w:rPr>
              <w:t>“十四五”合计</w:t>
            </w:r>
          </w:p>
        </w:tc>
        <w:tc>
          <w:tcPr>
            <w:tcW w:w="1678" w:type="dxa"/>
            <w:tcBorders>
              <w:top w:val="single" w:color="auto" w:sz="4" w:space="0"/>
              <w:left w:val="nil"/>
              <w:bottom w:val="single" w:color="auto" w:sz="4" w:space="0"/>
              <w:right w:val="single" w:color="000000" w:sz="4" w:space="0"/>
            </w:tcBorders>
            <w:shd w:val="clear" w:color="auto" w:fill="DBEEF3"/>
            <w:vAlign w:val="center"/>
          </w:tcPr>
          <w:p>
            <w:pPr>
              <w:widowControl/>
              <w:spacing w:line="260" w:lineRule="exact"/>
              <w:jc w:val="center"/>
              <w:rPr>
                <w:rFonts w:eastAsia="黑体"/>
                <w:kern w:val="0"/>
                <w:sz w:val="18"/>
                <w:szCs w:val="18"/>
              </w:rPr>
            </w:pPr>
            <w:r>
              <w:rPr>
                <w:rFonts w:eastAsia="黑体"/>
                <w:kern w:val="0"/>
                <w:sz w:val="18"/>
                <w:szCs w:val="18"/>
              </w:rPr>
              <w:t>市政消火栓数（个）</w:t>
            </w:r>
          </w:p>
        </w:tc>
        <w:tc>
          <w:tcPr>
            <w:tcW w:w="9876" w:type="dxa"/>
            <w:tcBorders>
              <w:top w:val="single" w:color="auto" w:sz="4" w:space="0"/>
              <w:left w:val="nil"/>
              <w:bottom w:val="single" w:color="auto" w:sz="4" w:space="0"/>
              <w:right w:val="single" w:color="000000" w:sz="4" w:space="0"/>
            </w:tcBorders>
            <w:shd w:val="clear" w:color="auto" w:fill="DBEEF3"/>
            <w:vAlign w:val="center"/>
          </w:tcPr>
          <w:p>
            <w:pPr>
              <w:widowControl/>
              <w:jc w:val="center"/>
              <w:textAlignment w:val="center"/>
              <w:rPr>
                <w:rFonts w:eastAsia="仿宋"/>
                <w:kern w:val="0"/>
                <w:sz w:val="21"/>
                <w:szCs w:val="21"/>
              </w:rPr>
            </w:pPr>
            <w:r>
              <w:rPr>
                <w:rFonts w:eastAsia="仿宋"/>
                <w:b/>
                <w:bCs/>
                <w:kern w:val="0"/>
                <w:sz w:val="21"/>
                <w:szCs w:val="21"/>
              </w:rPr>
              <w:t>100</w:t>
            </w:r>
          </w:p>
        </w:tc>
        <w:tc>
          <w:tcPr>
            <w:tcW w:w="869" w:type="dxa"/>
            <w:tcBorders>
              <w:top w:val="single" w:color="auto" w:sz="4" w:space="0"/>
              <w:left w:val="nil"/>
              <w:bottom w:val="single" w:color="auto" w:sz="4" w:space="0"/>
              <w:right w:val="single" w:color="auto" w:sz="4" w:space="0"/>
            </w:tcBorders>
            <w:shd w:val="clear" w:color="auto" w:fill="DBEEF3"/>
            <w:vAlign w:val="center"/>
          </w:tcPr>
          <w:p>
            <w:pPr>
              <w:widowControl/>
              <w:jc w:val="center"/>
              <w:textAlignment w:val="center"/>
              <w:rPr>
                <w:rFonts w:eastAsia="仿宋"/>
                <w:kern w:val="0"/>
                <w:sz w:val="21"/>
                <w:szCs w:val="21"/>
              </w:rPr>
            </w:pPr>
            <w:r>
              <w:rPr>
                <w:rFonts w:eastAsia="仿宋"/>
                <w:b/>
                <w:bCs/>
                <w:kern w:val="0"/>
                <w:sz w:val="21"/>
                <w:szCs w:val="21"/>
              </w:rPr>
              <w:t>100</w:t>
            </w:r>
          </w:p>
        </w:tc>
      </w:tr>
      <w:tr>
        <w:tblPrEx>
          <w:tblCellMar>
            <w:top w:w="0" w:type="dxa"/>
            <w:left w:w="108" w:type="dxa"/>
            <w:bottom w:w="0" w:type="dxa"/>
            <w:right w:w="108" w:type="dxa"/>
          </w:tblCellMar>
        </w:tblPrEx>
        <w:trPr>
          <w:trHeight w:val="398" w:hRule="atLeast"/>
        </w:trPr>
        <w:tc>
          <w:tcPr>
            <w:tcW w:w="978" w:type="dxa"/>
            <w:tcBorders>
              <w:top w:val="single" w:color="auto" w:sz="4" w:space="0"/>
              <w:left w:val="single" w:color="000000" w:sz="4" w:space="0"/>
              <w:bottom w:val="single" w:color="auto" w:sz="4" w:space="0"/>
              <w:right w:val="single" w:color="000000" w:sz="4" w:space="0"/>
            </w:tcBorders>
            <w:shd w:val="clear" w:color="auto" w:fill="B6DDE8"/>
            <w:vAlign w:val="center"/>
          </w:tcPr>
          <w:p>
            <w:pPr>
              <w:widowControl/>
              <w:spacing w:line="240" w:lineRule="exact"/>
              <w:jc w:val="center"/>
              <w:rPr>
                <w:rFonts w:eastAsia="黑体"/>
                <w:kern w:val="0"/>
                <w:sz w:val="18"/>
                <w:szCs w:val="18"/>
              </w:rPr>
            </w:pPr>
            <w:r>
              <w:rPr>
                <w:rFonts w:eastAsia="黑体"/>
                <w:kern w:val="0"/>
                <w:sz w:val="18"/>
                <w:szCs w:val="18"/>
              </w:rPr>
              <w:t>“十四五”合计</w:t>
            </w:r>
          </w:p>
        </w:tc>
        <w:tc>
          <w:tcPr>
            <w:tcW w:w="1678" w:type="dxa"/>
            <w:tcBorders>
              <w:top w:val="single" w:color="auto" w:sz="4" w:space="0"/>
              <w:left w:val="nil"/>
              <w:bottom w:val="single" w:color="auto" w:sz="4" w:space="0"/>
              <w:right w:val="single" w:color="000000" w:sz="4" w:space="0"/>
            </w:tcBorders>
            <w:shd w:val="clear" w:color="auto" w:fill="B6DDE8"/>
            <w:vAlign w:val="center"/>
          </w:tcPr>
          <w:p>
            <w:pPr>
              <w:widowControl/>
              <w:jc w:val="center"/>
              <w:rPr>
                <w:rFonts w:eastAsia="黑体"/>
                <w:kern w:val="0"/>
                <w:sz w:val="18"/>
                <w:szCs w:val="18"/>
              </w:rPr>
            </w:pPr>
            <w:r>
              <w:rPr>
                <w:rFonts w:eastAsia="黑体"/>
                <w:kern w:val="0"/>
                <w:sz w:val="18"/>
                <w:szCs w:val="18"/>
              </w:rPr>
              <w:t>消防水鹤数（个）</w:t>
            </w:r>
          </w:p>
        </w:tc>
        <w:tc>
          <w:tcPr>
            <w:tcW w:w="9876" w:type="dxa"/>
            <w:tcBorders>
              <w:top w:val="single" w:color="auto" w:sz="4" w:space="0"/>
              <w:left w:val="nil"/>
              <w:bottom w:val="single" w:color="auto" w:sz="4" w:space="0"/>
              <w:right w:val="single" w:color="000000" w:sz="4" w:space="0"/>
            </w:tcBorders>
            <w:shd w:val="clear" w:color="auto" w:fill="B6DDE8"/>
            <w:vAlign w:val="center"/>
          </w:tcPr>
          <w:p>
            <w:pPr>
              <w:widowControl/>
              <w:jc w:val="center"/>
              <w:textAlignment w:val="center"/>
              <w:rPr>
                <w:rFonts w:eastAsia="仿宋"/>
                <w:kern w:val="0"/>
                <w:sz w:val="21"/>
                <w:szCs w:val="21"/>
              </w:rPr>
            </w:pPr>
            <w:r>
              <w:rPr>
                <w:rFonts w:eastAsia="仿宋"/>
                <w:b/>
                <w:bCs/>
                <w:kern w:val="0"/>
                <w:sz w:val="21"/>
                <w:szCs w:val="21"/>
              </w:rPr>
              <w:t>4</w:t>
            </w:r>
          </w:p>
        </w:tc>
        <w:tc>
          <w:tcPr>
            <w:tcW w:w="869" w:type="dxa"/>
            <w:tcBorders>
              <w:top w:val="single" w:color="auto" w:sz="4" w:space="0"/>
              <w:left w:val="nil"/>
              <w:bottom w:val="single" w:color="auto" w:sz="4" w:space="0"/>
              <w:right w:val="single" w:color="000000" w:sz="4" w:space="0"/>
            </w:tcBorders>
            <w:shd w:val="clear" w:color="auto" w:fill="B6DDE8"/>
            <w:vAlign w:val="center"/>
          </w:tcPr>
          <w:p>
            <w:pPr>
              <w:widowControl/>
              <w:jc w:val="center"/>
              <w:textAlignment w:val="center"/>
              <w:rPr>
                <w:rFonts w:eastAsia="仿宋"/>
                <w:kern w:val="0"/>
                <w:sz w:val="21"/>
                <w:szCs w:val="21"/>
              </w:rPr>
            </w:pPr>
            <w:r>
              <w:rPr>
                <w:rFonts w:eastAsia="仿宋"/>
                <w:b/>
                <w:bCs/>
                <w:kern w:val="0"/>
                <w:sz w:val="21"/>
                <w:szCs w:val="21"/>
              </w:rPr>
              <w:t>4</w:t>
            </w:r>
          </w:p>
        </w:tc>
      </w:tr>
      <w:tr>
        <w:tblPrEx>
          <w:tblCellMar>
            <w:top w:w="0" w:type="dxa"/>
            <w:left w:w="108" w:type="dxa"/>
            <w:bottom w:w="0" w:type="dxa"/>
            <w:right w:w="108" w:type="dxa"/>
          </w:tblCellMar>
        </w:tblPrEx>
        <w:trPr>
          <w:trHeight w:val="390" w:hRule="atLeast"/>
        </w:trPr>
        <w:tc>
          <w:tcPr>
            <w:tcW w:w="13401" w:type="dxa"/>
            <w:gridSpan w:val="4"/>
            <w:tcBorders>
              <w:top w:val="single" w:color="auto" w:sz="4" w:space="0"/>
              <w:left w:val="single" w:color="000000" w:sz="4" w:space="0"/>
              <w:bottom w:val="single" w:color="000000" w:sz="4" w:space="0"/>
              <w:right w:val="single" w:color="000000" w:sz="4" w:space="0"/>
            </w:tcBorders>
            <w:shd w:val="clear" w:color="auto" w:fill="B6DDE8"/>
            <w:vAlign w:val="center"/>
          </w:tcPr>
          <w:p>
            <w:pPr>
              <w:widowControl/>
              <w:spacing w:line="360" w:lineRule="exact"/>
              <w:textAlignment w:val="center"/>
              <w:rPr>
                <w:kern w:val="0"/>
                <w:szCs w:val="21"/>
              </w:rPr>
            </w:pPr>
            <w:r>
              <w:rPr>
                <w:kern w:val="0"/>
                <w:sz w:val="21"/>
                <w:szCs w:val="21"/>
              </w:rPr>
              <w:t>注：1.十四五期间，针对</w:t>
            </w:r>
            <w:r>
              <w:rPr>
                <w:rFonts w:hint="eastAsia"/>
                <w:kern w:val="0"/>
                <w:sz w:val="21"/>
                <w:szCs w:val="21"/>
              </w:rPr>
              <w:t>保德</w:t>
            </w:r>
            <w:r>
              <w:rPr>
                <w:kern w:val="0"/>
                <w:sz w:val="21"/>
                <w:szCs w:val="21"/>
              </w:rPr>
              <w:t>县现状消火栓及消防水鹤实际情况，以维修为主，保证其正常使用。</w:t>
            </w:r>
          </w:p>
          <w:p>
            <w:pPr>
              <w:widowControl/>
              <w:spacing w:line="360" w:lineRule="exact"/>
              <w:ind w:firstLine="420" w:firstLineChars="200"/>
              <w:textAlignment w:val="center"/>
              <w:rPr>
                <w:kern w:val="0"/>
                <w:szCs w:val="21"/>
              </w:rPr>
            </w:pPr>
            <w:r>
              <w:rPr>
                <w:kern w:val="0"/>
                <w:sz w:val="21"/>
                <w:szCs w:val="21"/>
              </w:rPr>
              <w:t>2.消火栓数量增加应随着县城建成区面积的扩大而适时增补。</w:t>
            </w:r>
          </w:p>
          <w:p>
            <w:pPr>
              <w:widowControl/>
              <w:ind w:firstLine="420" w:firstLineChars="200"/>
              <w:textAlignment w:val="center"/>
            </w:pPr>
            <w:r>
              <w:rPr>
                <w:kern w:val="0"/>
                <w:sz w:val="21"/>
                <w:szCs w:val="21"/>
              </w:rPr>
              <w:t>3.上述消火栓补充数量包含</w:t>
            </w:r>
            <w:r>
              <w:rPr>
                <w:rFonts w:hint="eastAsia"/>
                <w:kern w:val="0"/>
                <w:sz w:val="21"/>
                <w:szCs w:val="21"/>
              </w:rPr>
              <w:t>保德</w:t>
            </w:r>
            <w:r>
              <w:rPr>
                <w:kern w:val="0"/>
                <w:sz w:val="21"/>
                <w:szCs w:val="21"/>
              </w:rPr>
              <w:t>县下辖乡镇。</w:t>
            </w:r>
          </w:p>
        </w:tc>
      </w:tr>
    </w:tbl>
    <w:p>
      <w:pPr>
        <w:tabs>
          <w:tab w:val="left" w:pos="10087"/>
        </w:tabs>
        <w:spacing w:line="200" w:lineRule="exact"/>
        <w:jc w:val="center"/>
        <w:outlineLvl w:val="0"/>
        <w:rPr>
          <w:rFonts w:eastAsia="Arial Unicode MS"/>
          <w:sz w:val="44"/>
          <w:szCs w:val="44"/>
        </w:rPr>
      </w:pPr>
      <w:bookmarkStart w:id="28" w:name="_GoBack"/>
      <w:bookmarkEnd w:id="28"/>
      <w:bookmarkStart w:id="27" w:name="_Toc297621748"/>
    </w:p>
    <w:p>
      <w:pPr>
        <w:keepNext w:val="0"/>
        <w:keepLines w:val="0"/>
        <w:pageBreakBefore w:val="0"/>
        <w:widowControl w:val="0"/>
        <w:tabs>
          <w:tab w:val="left" w:pos="10087"/>
        </w:tabs>
        <w:kinsoku/>
        <w:wordWrap/>
        <w:overflowPunct/>
        <w:topLinePunct w:val="0"/>
        <w:autoSpaceDE/>
        <w:autoSpaceDN/>
        <w:bidi w:val="0"/>
        <w:adjustRightInd w:val="0"/>
        <w:snapToGrid w:val="0"/>
        <w:spacing w:before="435" w:beforeLines="100" w:after="435" w:afterLines="100" w:line="600" w:lineRule="exact"/>
        <w:jc w:val="both"/>
        <w:textAlignment w:val="auto"/>
        <w:outlineLvl w:val="0"/>
        <w:rPr>
          <w:rFonts w:hint="eastAsia" w:ascii="黑体" w:hAnsi="黑体" w:eastAsia="黑体" w:cs="黑体"/>
          <w:sz w:val="21"/>
          <w:szCs w:val="21"/>
        </w:rPr>
      </w:pPr>
      <w:r>
        <w:rPr>
          <w:rFonts w:hint="eastAsia" w:ascii="黑体" w:hAnsi="黑体" w:eastAsia="黑体" w:cs="黑体"/>
          <w:sz w:val="21"/>
          <w:szCs w:val="21"/>
        </w:rPr>
        <w:t>附表3</w:t>
      </w:r>
    </w:p>
    <w:p>
      <w:pPr>
        <w:keepNext w:val="0"/>
        <w:keepLines w:val="0"/>
        <w:pageBreakBefore w:val="0"/>
        <w:widowControl w:val="0"/>
        <w:tabs>
          <w:tab w:val="left" w:pos="10087"/>
        </w:tabs>
        <w:kinsoku/>
        <w:wordWrap/>
        <w:overflowPunct/>
        <w:topLinePunct w:val="0"/>
        <w:autoSpaceDE/>
        <w:autoSpaceDN/>
        <w:bidi w:val="0"/>
        <w:adjustRightInd w:val="0"/>
        <w:snapToGrid w:val="0"/>
        <w:spacing w:before="435" w:beforeLines="100" w:after="435" w:afterLines="100" w:line="600" w:lineRule="exact"/>
        <w:jc w:val="center"/>
        <w:textAlignment w:val="auto"/>
        <w:outlineLvl w:val="0"/>
        <w:rPr>
          <w:rFonts w:eastAsia="Arial Unicode MS"/>
          <w:sz w:val="44"/>
          <w:szCs w:val="44"/>
        </w:rPr>
      </w:pPr>
      <w:r>
        <w:rPr>
          <w:rFonts w:eastAsia="Arial Unicode MS"/>
          <w:sz w:val="44"/>
          <w:szCs w:val="44"/>
        </w:rPr>
        <w:t>“十四五”期间</w:t>
      </w:r>
      <w:r>
        <w:rPr>
          <w:rFonts w:hint="eastAsia" w:eastAsia="Arial Unicode MS"/>
          <w:sz w:val="44"/>
          <w:szCs w:val="44"/>
        </w:rPr>
        <w:t>保德县消防</w:t>
      </w:r>
      <w:r>
        <w:rPr>
          <w:rFonts w:eastAsia="Arial Unicode MS"/>
          <w:sz w:val="44"/>
          <w:szCs w:val="44"/>
        </w:rPr>
        <w:t>车辆配备规划表</w:t>
      </w:r>
      <w:bookmarkEnd w:id="27"/>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8"/>
        <w:gridCol w:w="2487"/>
        <w:gridCol w:w="3483"/>
        <w:gridCol w:w="1633"/>
        <w:gridCol w:w="1633"/>
        <w:gridCol w:w="1633"/>
        <w:gridCol w:w="16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jc w:val="center"/>
        </w:trPr>
        <w:tc>
          <w:tcPr>
            <w:tcW w:w="748" w:type="dxa"/>
            <w:vAlign w:val="center"/>
          </w:tcPr>
          <w:p>
            <w:pPr>
              <w:widowControl/>
              <w:jc w:val="center"/>
              <w:rPr>
                <w:rFonts w:eastAsia="黑体"/>
                <w:bCs/>
                <w:kern w:val="0"/>
                <w:sz w:val="24"/>
              </w:rPr>
            </w:pPr>
            <w:r>
              <w:rPr>
                <w:rFonts w:eastAsia="黑体"/>
                <w:bCs/>
                <w:kern w:val="0"/>
                <w:sz w:val="24"/>
              </w:rPr>
              <w:t>序号</w:t>
            </w:r>
          </w:p>
        </w:tc>
        <w:tc>
          <w:tcPr>
            <w:tcW w:w="2487" w:type="dxa"/>
            <w:vAlign w:val="center"/>
          </w:tcPr>
          <w:p>
            <w:pPr>
              <w:widowControl/>
              <w:jc w:val="center"/>
              <w:rPr>
                <w:rFonts w:eastAsia="黑体"/>
                <w:bCs/>
                <w:kern w:val="0"/>
                <w:sz w:val="24"/>
              </w:rPr>
            </w:pPr>
            <w:r>
              <w:rPr>
                <w:rFonts w:eastAsia="黑体"/>
                <w:bCs/>
                <w:kern w:val="0"/>
                <w:sz w:val="24"/>
              </w:rPr>
              <w:t>单位名称</w:t>
            </w:r>
          </w:p>
        </w:tc>
        <w:tc>
          <w:tcPr>
            <w:tcW w:w="3483" w:type="dxa"/>
            <w:vAlign w:val="center"/>
          </w:tcPr>
          <w:p>
            <w:pPr>
              <w:widowControl/>
              <w:jc w:val="center"/>
              <w:rPr>
                <w:rFonts w:eastAsia="黑体"/>
                <w:bCs/>
                <w:kern w:val="0"/>
                <w:sz w:val="24"/>
              </w:rPr>
            </w:pPr>
            <w:r>
              <w:rPr>
                <w:rFonts w:eastAsia="黑体"/>
                <w:bCs/>
                <w:kern w:val="0"/>
                <w:sz w:val="24"/>
              </w:rPr>
              <w:t>购置车辆</w:t>
            </w:r>
          </w:p>
        </w:tc>
        <w:tc>
          <w:tcPr>
            <w:tcW w:w="1633" w:type="dxa"/>
            <w:vAlign w:val="center"/>
          </w:tcPr>
          <w:p>
            <w:pPr>
              <w:widowControl/>
              <w:jc w:val="center"/>
              <w:rPr>
                <w:rFonts w:eastAsia="黑体"/>
                <w:bCs/>
                <w:kern w:val="0"/>
                <w:sz w:val="24"/>
              </w:rPr>
            </w:pPr>
            <w:r>
              <w:rPr>
                <w:rFonts w:eastAsia="黑体"/>
                <w:bCs/>
                <w:kern w:val="0"/>
                <w:sz w:val="24"/>
              </w:rPr>
              <w:t>2022年</w:t>
            </w:r>
          </w:p>
        </w:tc>
        <w:tc>
          <w:tcPr>
            <w:tcW w:w="1633" w:type="dxa"/>
            <w:vAlign w:val="center"/>
          </w:tcPr>
          <w:p>
            <w:pPr>
              <w:widowControl/>
              <w:jc w:val="center"/>
              <w:rPr>
                <w:rFonts w:eastAsia="黑体"/>
                <w:bCs/>
                <w:kern w:val="0"/>
                <w:sz w:val="24"/>
              </w:rPr>
            </w:pPr>
            <w:r>
              <w:rPr>
                <w:rFonts w:eastAsia="黑体"/>
                <w:bCs/>
                <w:kern w:val="0"/>
                <w:sz w:val="24"/>
              </w:rPr>
              <w:t>2023年</w:t>
            </w:r>
          </w:p>
        </w:tc>
        <w:tc>
          <w:tcPr>
            <w:tcW w:w="1633" w:type="dxa"/>
            <w:vAlign w:val="center"/>
          </w:tcPr>
          <w:p>
            <w:pPr>
              <w:widowControl/>
              <w:jc w:val="center"/>
              <w:rPr>
                <w:rFonts w:eastAsia="黑体"/>
                <w:bCs/>
                <w:kern w:val="0"/>
                <w:sz w:val="24"/>
              </w:rPr>
            </w:pPr>
            <w:r>
              <w:rPr>
                <w:rFonts w:eastAsia="黑体"/>
                <w:bCs/>
                <w:kern w:val="0"/>
                <w:sz w:val="24"/>
              </w:rPr>
              <w:t>2024年</w:t>
            </w:r>
          </w:p>
        </w:tc>
        <w:tc>
          <w:tcPr>
            <w:tcW w:w="1633" w:type="dxa"/>
            <w:vAlign w:val="center"/>
          </w:tcPr>
          <w:p>
            <w:pPr>
              <w:widowControl/>
              <w:jc w:val="center"/>
              <w:rPr>
                <w:rFonts w:eastAsia="黑体"/>
                <w:bCs/>
                <w:kern w:val="0"/>
                <w:sz w:val="24"/>
              </w:rPr>
            </w:pPr>
            <w:r>
              <w:rPr>
                <w:rFonts w:eastAsia="黑体"/>
                <w:bCs/>
                <w:kern w:val="0"/>
                <w:sz w:val="24"/>
              </w:rPr>
              <w:t>2025年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748" w:type="dxa"/>
            <w:vMerge w:val="restart"/>
            <w:vAlign w:val="center"/>
          </w:tcPr>
          <w:p>
            <w:pPr>
              <w:widowControl/>
              <w:jc w:val="center"/>
              <w:rPr>
                <w:rFonts w:hint="eastAsia" w:eastAsia="黑体"/>
                <w:bCs/>
                <w:kern w:val="0"/>
                <w:sz w:val="24"/>
              </w:rPr>
            </w:pPr>
            <w:r>
              <w:rPr>
                <w:rFonts w:hint="eastAsia" w:eastAsia="黑体"/>
                <w:bCs/>
                <w:kern w:val="0"/>
                <w:sz w:val="24"/>
              </w:rPr>
              <w:t>1</w:t>
            </w:r>
          </w:p>
        </w:tc>
        <w:tc>
          <w:tcPr>
            <w:tcW w:w="2487" w:type="dxa"/>
            <w:vMerge w:val="restart"/>
            <w:vAlign w:val="center"/>
          </w:tcPr>
          <w:p>
            <w:pPr>
              <w:widowControl/>
              <w:jc w:val="center"/>
              <w:rPr>
                <w:rFonts w:eastAsia="黑体"/>
                <w:bCs/>
                <w:kern w:val="0"/>
                <w:sz w:val="24"/>
              </w:rPr>
            </w:pPr>
            <w:r>
              <w:rPr>
                <w:rFonts w:hint="eastAsia" w:eastAsia="黑体"/>
                <w:bCs/>
                <w:kern w:val="0"/>
                <w:sz w:val="24"/>
              </w:rPr>
              <w:t>保德县</w:t>
            </w:r>
            <w:r>
              <w:rPr>
                <w:rFonts w:eastAsia="黑体"/>
                <w:bCs/>
                <w:kern w:val="0"/>
                <w:sz w:val="24"/>
              </w:rPr>
              <w:t>消防救援大队</w:t>
            </w:r>
          </w:p>
        </w:tc>
        <w:tc>
          <w:tcPr>
            <w:tcW w:w="3483" w:type="dxa"/>
            <w:vAlign w:val="center"/>
          </w:tcPr>
          <w:p>
            <w:pPr>
              <w:widowControl/>
              <w:jc w:val="center"/>
              <w:textAlignment w:val="center"/>
              <w:rPr>
                <w:kern w:val="0"/>
                <w:szCs w:val="21"/>
              </w:rPr>
            </w:pPr>
            <w:r>
              <w:rPr>
                <w:kern w:val="0"/>
                <w:sz w:val="21"/>
                <w:szCs w:val="21"/>
              </w:rPr>
              <w:t>水罐消防车（SG）</w:t>
            </w:r>
          </w:p>
        </w:tc>
        <w:tc>
          <w:tcPr>
            <w:tcW w:w="1633" w:type="dxa"/>
            <w:vAlign w:val="center"/>
          </w:tcPr>
          <w:p>
            <w:pPr>
              <w:widowControl/>
              <w:jc w:val="center"/>
              <w:textAlignment w:val="center"/>
              <w:rPr>
                <w:kern w:val="0"/>
                <w:szCs w:val="21"/>
              </w:rPr>
            </w:pPr>
          </w:p>
        </w:tc>
        <w:tc>
          <w:tcPr>
            <w:tcW w:w="1633" w:type="dxa"/>
            <w:vAlign w:val="center"/>
          </w:tcPr>
          <w:p>
            <w:pPr>
              <w:widowControl/>
              <w:jc w:val="center"/>
              <w:textAlignment w:val="center"/>
              <w:rPr>
                <w:kern w:val="0"/>
                <w:sz w:val="21"/>
                <w:szCs w:val="21"/>
              </w:rPr>
            </w:pPr>
          </w:p>
        </w:tc>
        <w:tc>
          <w:tcPr>
            <w:tcW w:w="1633" w:type="dxa"/>
            <w:vAlign w:val="center"/>
          </w:tcPr>
          <w:p>
            <w:pPr>
              <w:widowControl/>
              <w:jc w:val="center"/>
              <w:textAlignment w:val="center"/>
              <w:rPr>
                <w:kern w:val="0"/>
                <w:szCs w:val="21"/>
              </w:rPr>
            </w:pPr>
            <w:r>
              <w:rPr>
                <w:kern w:val="0"/>
                <w:sz w:val="21"/>
                <w:szCs w:val="21"/>
              </w:rPr>
              <w:t>1</w:t>
            </w:r>
          </w:p>
        </w:tc>
        <w:tc>
          <w:tcPr>
            <w:tcW w:w="1633" w:type="dxa"/>
            <w:vAlign w:val="center"/>
          </w:tcPr>
          <w:p>
            <w:pPr>
              <w:widowControl/>
              <w:jc w:val="center"/>
              <w:textAlignment w:val="center"/>
              <w:rPr>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748" w:type="dxa"/>
            <w:vMerge w:val="continue"/>
            <w:vAlign w:val="center"/>
          </w:tcPr>
          <w:p>
            <w:pPr>
              <w:widowControl/>
              <w:jc w:val="center"/>
              <w:rPr>
                <w:rFonts w:eastAsia="黑体"/>
                <w:bCs/>
                <w:kern w:val="0"/>
                <w:sz w:val="24"/>
              </w:rPr>
            </w:pPr>
          </w:p>
        </w:tc>
        <w:tc>
          <w:tcPr>
            <w:tcW w:w="2487" w:type="dxa"/>
            <w:vMerge w:val="continue"/>
            <w:vAlign w:val="center"/>
          </w:tcPr>
          <w:p>
            <w:pPr>
              <w:widowControl/>
              <w:jc w:val="center"/>
              <w:rPr>
                <w:rFonts w:eastAsia="黑体"/>
                <w:bCs/>
                <w:kern w:val="0"/>
                <w:sz w:val="24"/>
              </w:rPr>
            </w:pPr>
          </w:p>
        </w:tc>
        <w:tc>
          <w:tcPr>
            <w:tcW w:w="3483" w:type="dxa"/>
            <w:vAlign w:val="center"/>
          </w:tcPr>
          <w:p>
            <w:pPr>
              <w:widowControl/>
              <w:jc w:val="center"/>
              <w:textAlignment w:val="center"/>
              <w:rPr>
                <w:kern w:val="0"/>
                <w:szCs w:val="21"/>
              </w:rPr>
            </w:pPr>
            <w:r>
              <w:rPr>
                <w:kern w:val="0"/>
                <w:sz w:val="21"/>
                <w:szCs w:val="21"/>
              </w:rPr>
              <w:t>泡沫消防车（PM）</w:t>
            </w:r>
          </w:p>
        </w:tc>
        <w:tc>
          <w:tcPr>
            <w:tcW w:w="1633" w:type="dxa"/>
            <w:vAlign w:val="center"/>
          </w:tcPr>
          <w:p>
            <w:pPr>
              <w:widowControl/>
              <w:jc w:val="center"/>
              <w:textAlignment w:val="center"/>
              <w:rPr>
                <w:kern w:val="0"/>
                <w:szCs w:val="21"/>
              </w:rPr>
            </w:pPr>
          </w:p>
        </w:tc>
        <w:tc>
          <w:tcPr>
            <w:tcW w:w="1633" w:type="dxa"/>
            <w:vAlign w:val="center"/>
          </w:tcPr>
          <w:p>
            <w:pPr>
              <w:widowControl/>
              <w:jc w:val="center"/>
              <w:textAlignment w:val="center"/>
              <w:rPr>
                <w:kern w:val="0"/>
                <w:szCs w:val="21"/>
              </w:rPr>
            </w:pPr>
          </w:p>
        </w:tc>
        <w:tc>
          <w:tcPr>
            <w:tcW w:w="1633" w:type="dxa"/>
            <w:vAlign w:val="center"/>
          </w:tcPr>
          <w:p>
            <w:pPr>
              <w:widowControl/>
              <w:jc w:val="center"/>
              <w:textAlignment w:val="center"/>
              <w:rPr>
                <w:kern w:val="0"/>
                <w:szCs w:val="21"/>
              </w:rPr>
            </w:pPr>
          </w:p>
        </w:tc>
        <w:tc>
          <w:tcPr>
            <w:tcW w:w="1633" w:type="dxa"/>
            <w:vAlign w:val="center"/>
          </w:tcPr>
          <w:p>
            <w:pPr>
              <w:widowControl/>
              <w:jc w:val="center"/>
              <w:textAlignment w:val="center"/>
              <w:rPr>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748" w:type="dxa"/>
            <w:vMerge w:val="continue"/>
            <w:vAlign w:val="center"/>
          </w:tcPr>
          <w:p>
            <w:pPr>
              <w:widowControl/>
              <w:jc w:val="center"/>
              <w:rPr>
                <w:rFonts w:eastAsia="黑体"/>
                <w:bCs/>
                <w:kern w:val="0"/>
                <w:sz w:val="24"/>
              </w:rPr>
            </w:pPr>
          </w:p>
        </w:tc>
        <w:tc>
          <w:tcPr>
            <w:tcW w:w="2487" w:type="dxa"/>
            <w:vMerge w:val="continue"/>
            <w:vAlign w:val="center"/>
          </w:tcPr>
          <w:p>
            <w:pPr>
              <w:widowControl/>
              <w:jc w:val="center"/>
              <w:rPr>
                <w:rFonts w:eastAsia="黑体"/>
                <w:bCs/>
                <w:kern w:val="0"/>
                <w:sz w:val="24"/>
              </w:rPr>
            </w:pPr>
          </w:p>
        </w:tc>
        <w:tc>
          <w:tcPr>
            <w:tcW w:w="3483" w:type="dxa"/>
            <w:vAlign w:val="center"/>
          </w:tcPr>
          <w:p>
            <w:pPr>
              <w:widowControl/>
              <w:jc w:val="center"/>
              <w:textAlignment w:val="center"/>
              <w:rPr>
                <w:color w:val="auto"/>
                <w:kern w:val="0"/>
                <w:szCs w:val="21"/>
              </w:rPr>
            </w:pPr>
            <w:r>
              <w:rPr>
                <w:color w:val="auto"/>
                <w:kern w:val="0"/>
                <w:sz w:val="21"/>
                <w:szCs w:val="21"/>
              </w:rPr>
              <w:t>登高平台消防车/云梯消防车</w:t>
            </w:r>
          </w:p>
        </w:tc>
        <w:tc>
          <w:tcPr>
            <w:tcW w:w="1633" w:type="dxa"/>
            <w:vAlign w:val="center"/>
          </w:tcPr>
          <w:p>
            <w:pPr>
              <w:widowControl/>
              <w:jc w:val="center"/>
              <w:textAlignment w:val="center"/>
              <w:rPr>
                <w:color w:val="auto"/>
                <w:kern w:val="0"/>
                <w:sz w:val="21"/>
                <w:szCs w:val="21"/>
              </w:rPr>
            </w:pPr>
          </w:p>
        </w:tc>
        <w:tc>
          <w:tcPr>
            <w:tcW w:w="1633" w:type="dxa"/>
            <w:vAlign w:val="center"/>
          </w:tcPr>
          <w:p>
            <w:pPr>
              <w:widowControl/>
              <w:jc w:val="center"/>
              <w:textAlignment w:val="center"/>
              <w:rPr>
                <w:rFonts w:hint="eastAsia"/>
                <w:color w:val="FF0000"/>
                <w:kern w:val="0"/>
                <w:sz w:val="21"/>
                <w:szCs w:val="21"/>
                <w:lang w:val="en-US" w:eastAsia="zh-CN"/>
              </w:rPr>
            </w:pPr>
            <w:r>
              <w:rPr>
                <w:rFonts w:hint="eastAsia"/>
                <w:color w:val="FF0000"/>
                <w:kern w:val="0"/>
                <w:sz w:val="21"/>
                <w:szCs w:val="21"/>
                <w:lang w:val="en-US" w:eastAsia="zh-CN"/>
              </w:rPr>
              <w:t>1</w:t>
            </w:r>
          </w:p>
        </w:tc>
        <w:tc>
          <w:tcPr>
            <w:tcW w:w="1633" w:type="dxa"/>
            <w:vAlign w:val="center"/>
          </w:tcPr>
          <w:p>
            <w:pPr>
              <w:widowControl/>
              <w:jc w:val="center"/>
              <w:textAlignment w:val="center"/>
              <w:rPr>
                <w:kern w:val="0"/>
                <w:szCs w:val="21"/>
              </w:rPr>
            </w:pPr>
          </w:p>
        </w:tc>
        <w:tc>
          <w:tcPr>
            <w:tcW w:w="1633" w:type="dxa"/>
            <w:vAlign w:val="center"/>
          </w:tcPr>
          <w:p>
            <w:pPr>
              <w:widowControl/>
              <w:jc w:val="center"/>
              <w:textAlignment w:val="center"/>
              <w:rPr>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748" w:type="dxa"/>
            <w:vMerge w:val="continue"/>
            <w:vAlign w:val="center"/>
          </w:tcPr>
          <w:p>
            <w:pPr>
              <w:widowControl/>
              <w:jc w:val="center"/>
              <w:rPr>
                <w:rFonts w:eastAsia="黑体"/>
                <w:bCs/>
                <w:kern w:val="0"/>
                <w:sz w:val="24"/>
              </w:rPr>
            </w:pPr>
          </w:p>
        </w:tc>
        <w:tc>
          <w:tcPr>
            <w:tcW w:w="2487" w:type="dxa"/>
            <w:vMerge w:val="continue"/>
            <w:vAlign w:val="center"/>
          </w:tcPr>
          <w:p>
            <w:pPr>
              <w:widowControl/>
              <w:jc w:val="center"/>
              <w:rPr>
                <w:rFonts w:eastAsia="黑体"/>
                <w:bCs/>
                <w:kern w:val="0"/>
                <w:sz w:val="24"/>
              </w:rPr>
            </w:pPr>
          </w:p>
        </w:tc>
        <w:tc>
          <w:tcPr>
            <w:tcW w:w="3483" w:type="dxa"/>
            <w:vAlign w:val="center"/>
          </w:tcPr>
          <w:p>
            <w:pPr>
              <w:widowControl/>
              <w:jc w:val="center"/>
              <w:textAlignment w:val="center"/>
              <w:rPr>
                <w:color w:val="auto"/>
                <w:kern w:val="0"/>
                <w:szCs w:val="21"/>
              </w:rPr>
            </w:pPr>
            <w:r>
              <w:rPr>
                <w:color w:val="auto"/>
                <w:kern w:val="0"/>
                <w:sz w:val="21"/>
                <w:szCs w:val="21"/>
              </w:rPr>
              <w:t>抢险救援消防车</w:t>
            </w:r>
          </w:p>
        </w:tc>
        <w:tc>
          <w:tcPr>
            <w:tcW w:w="1633" w:type="dxa"/>
            <w:vAlign w:val="center"/>
          </w:tcPr>
          <w:p>
            <w:pPr>
              <w:widowControl/>
              <w:jc w:val="center"/>
              <w:textAlignment w:val="center"/>
              <w:rPr>
                <w:color w:val="auto"/>
                <w:kern w:val="0"/>
                <w:szCs w:val="21"/>
              </w:rPr>
            </w:pPr>
          </w:p>
        </w:tc>
        <w:tc>
          <w:tcPr>
            <w:tcW w:w="1633" w:type="dxa"/>
            <w:vAlign w:val="center"/>
          </w:tcPr>
          <w:p>
            <w:pPr>
              <w:widowControl/>
              <w:jc w:val="center"/>
              <w:textAlignment w:val="center"/>
              <w:rPr>
                <w:kern w:val="0"/>
                <w:szCs w:val="21"/>
              </w:rPr>
            </w:pPr>
          </w:p>
        </w:tc>
        <w:tc>
          <w:tcPr>
            <w:tcW w:w="1633" w:type="dxa"/>
            <w:vAlign w:val="center"/>
          </w:tcPr>
          <w:p>
            <w:pPr>
              <w:widowControl/>
              <w:jc w:val="center"/>
              <w:textAlignment w:val="center"/>
              <w:rPr>
                <w:kern w:val="0"/>
                <w:szCs w:val="21"/>
              </w:rPr>
            </w:pPr>
          </w:p>
        </w:tc>
        <w:tc>
          <w:tcPr>
            <w:tcW w:w="1633" w:type="dxa"/>
            <w:vAlign w:val="center"/>
          </w:tcPr>
          <w:p>
            <w:pPr>
              <w:widowControl/>
              <w:jc w:val="center"/>
              <w:textAlignment w:val="center"/>
              <w:rPr>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748" w:type="dxa"/>
            <w:vMerge w:val="continue"/>
            <w:vAlign w:val="center"/>
          </w:tcPr>
          <w:p>
            <w:pPr>
              <w:widowControl/>
              <w:jc w:val="center"/>
              <w:rPr>
                <w:rFonts w:eastAsia="黑体"/>
                <w:bCs/>
                <w:kern w:val="0"/>
                <w:sz w:val="24"/>
              </w:rPr>
            </w:pPr>
          </w:p>
        </w:tc>
        <w:tc>
          <w:tcPr>
            <w:tcW w:w="2487" w:type="dxa"/>
            <w:vMerge w:val="continue"/>
            <w:vAlign w:val="center"/>
          </w:tcPr>
          <w:p>
            <w:pPr>
              <w:widowControl/>
              <w:jc w:val="center"/>
              <w:rPr>
                <w:rFonts w:eastAsia="黑体"/>
                <w:bCs/>
                <w:kern w:val="0"/>
                <w:sz w:val="24"/>
              </w:rPr>
            </w:pPr>
          </w:p>
        </w:tc>
        <w:tc>
          <w:tcPr>
            <w:tcW w:w="3483" w:type="dxa"/>
            <w:vAlign w:val="center"/>
          </w:tcPr>
          <w:p>
            <w:pPr>
              <w:widowControl/>
              <w:jc w:val="center"/>
              <w:textAlignment w:val="center"/>
              <w:rPr>
                <w:kern w:val="0"/>
                <w:szCs w:val="21"/>
              </w:rPr>
            </w:pPr>
            <w:r>
              <w:rPr>
                <w:kern w:val="0"/>
                <w:sz w:val="21"/>
                <w:szCs w:val="21"/>
              </w:rPr>
              <w:t>空气充气车</w:t>
            </w:r>
          </w:p>
        </w:tc>
        <w:tc>
          <w:tcPr>
            <w:tcW w:w="1633" w:type="dxa"/>
            <w:vAlign w:val="center"/>
          </w:tcPr>
          <w:p>
            <w:pPr>
              <w:widowControl/>
              <w:jc w:val="center"/>
              <w:textAlignment w:val="center"/>
              <w:rPr>
                <w:kern w:val="0"/>
                <w:szCs w:val="21"/>
              </w:rPr>
            </w:pPr>
          </w:p>
        </w:tc>
        <w:tc>
          <w:tcPr>
            <w:tcW w:w="1633" w:type="dxa"/>
            <w:vAlign w:val="center"/>
          </w:tcPr>
          <w:p>
            <w:pPr>
              <w:widowControl/>
              <w:jc w:val="center"/>
              <w:textAlignment w:val="center"/>
              <w:rPr>
                <w:kern w:val="0"/>
                <w:szCs w:val="21"/>
              </w:rPr>
            </w:pPr>
          </w:p>
        </w:tc>
        <w:tc>
          <w:tcPr>
            <w:tcW w:w="1633" w:type="dxa"/>
            <w:vAlign w:val="center"/>
          </w:tcPr>
          <w:p>
            <w:pPr>
              <w:widowControl/>
              <w:jc w:val="center"/>
              <w:textAlignment w:val="center"/>
              <w:rPr>
                <w:kern w:val="0"/>
                <w:szCs w:val="21"/>
              </w:rPr>
            </w:pPr>
          </w:p>
        </w:tc>
        <w:tc>
          <w:tcPr>
            <w:tcW w:w="1633" w:type="dxa"/>
            <w:vAlign w:val="center"/>
          </w:tcPr>
          <w:p>
            <w:pPr>
              <w:widowControl/>
              <w:jc w:val="center"/>
              <w:textAlignment w:val="center"/>
              <w:rPr>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748" w:type="dxa"/>
            <w:vMerge w:val="continue"/>
            <w:shd w:val="clear" w:color="auto" w:fill="auto"/>
            <w:vAlign w:val="center"/>
          </w:tcPr>
          <w:p>
            <w:pPr>
              <w:widowControl/>
              <w:jc w:val="center"/>
              <w:rPr>
                <w:rFonts w:eastAsia="黑体"/>
                <w:bCs/>
                <w:kern w:val="0"/>
                <w:sz w:val="24"/>
              </w:rPr>
            </w:pPr>
          </w:p>
        </w:tc>
        <w:tc>
          <w:tcPr>
            <w:tcW w:w="2487" w:type="dxa"/>
            <w:shd w:val="clear" w:color="auto" w:fill="E2EFDA"/>
            <w:vAlign w:val="center"/>
          </w:tcPr>
          <w:p>
            <w:pPr>
              <w:widowControl/>
              <w:spacing w:line="400" w:lineRule="exact"/>
              <w:jc w:val="center"/>
              <w:rPr>
                <w:rFonts w:eastAsia="黑体"/>
                <w:bCs/>
                <w:kern w:val="0"/>
                <w:sz w:val="24"/>
              </w:rPr>
            </w:pPr>
            <w:r>
              <w:rPr>
                <w:rFonts w:eastAsia="黑体"/>
                <w:bCs/>
                <w:kern w:val="0"/>
                <w:sz w:val="24"/>
              </w:rPr>
              <w:t>合计</w:t>
            </w:r>
          </w:p>
        </w:tc>
        <w:tc>
          <w:tcPr>
            <w:tcW w:w="3483" w:type="dxa"/>
            <w:shd w:val="clear" w:color="auto" w:fill="E2EFDA"/>
            <w:vAlign w:val="center"/>
          </w:tcPr>
          <w:p>
            <w:pPr>
              <w:spacing w:line="400" w:lineRule="exact"/>
              <w:jc w:val="center"/>
              <w:rPr>
                <w:rFonts w:hint="eastAsia" w:eastAsia="仿宋_GB2312"/>
                <w:sz w:val="20"/>
                <w:szCs w:val="20"/>
                <w:lang w:eastAsia="zh-CN"/>
              </w:rPr>
            </w:pPr>
          </w:p>
        </w:tc>
        <w:tc>
          <w:tcPr>
            <w:tcW w:w="1633" w:type="dxa"/>
            <w:shd w:val="clear" w:color="auto" w:fill="E2EFDA"/>
            <w:vAlign w:val="center"/>
          </w:tcPr>
          <w:p>
            <w:pPr>
              <w:widowControl/>
              <w:spacing w:line="400" w:lineRule="exact"/>
              <w:jc w:val="center"/>
              <w:textAlignment w:val="center"/>
              <w:rPr>
                <w:sz w:val="20"/>
                <w:szCs w:val="20"/>
              </w:rPr>
            </w:pPr>
            <w:r>
              <w:rPr>
                <w:kern w:val="0"/>
                <w:sz w:val="20"/>
                <w:szCs w:val="20"/>
              </w:rPr>
              <w:t>0</w:t>
            </w:r>
          </w:p>
        </w:tc>
        <w:tc>
          <w:tcPr>
            <w:tcW w:w="1633" w:type="dxa"/>
            <w:shd w:val="clear" w:color="auto" w:fill="E2EFDA"/>
            <w:vAlign w:val="center"/>
          </w:tcPr>
          <w:p>
            <w:pPr>
              <w:widowControl/>
              <w:spacing w:line="400" w:lineRule="exact"/>
              <w:jc w:val="center"/>
              <w:textAlignment w:val="center"/>
              <w:rPr>
                <w:rFonts w:hint="eastAsia"/>
                <w:sz w:val="20"/>
                <w:szCs w:val="20"/>
              </w:rPr>
            </w:pPr>
            <w:r>
              <w:rPr>
                <w:rFonts w:hint="eastAsia"/>
                <w:sz w:val="20"/>
                <w:szCs w:val="20"/>
              </w:rPr>
              <w:t>1</w:t>
            </w:r>
          </w:p>
        </w:tc>
        <w:tc>
          <w:tcPr>
            <w:tcW w:w="1633" w:type="dxa"/>
            <w:shd w:val="clear" w:color="auto" w:fill="E2EFDA"/>
            <w:vAlign w:val="center"/>
          </w:tcPr>
          <w:p>
            <w:pPr>
              <w:widowControl/>
              <w:spacing w:line="400" w:lineRule="exact"/>
              <w:jc w:val="center"/>
              <w:textAlignment w:val="center"/>
              <w:rPr>
                <w:rFonts w:hint="eastAsia"/>
                <w:sz w:val="20"/>
                <w:szCs w:val="20"/>
              </w:rPr>
            </w:pPr>
            <w:r>
              <w:rPr>
                <w:rFonts w:hint="eastAsia"/>
                <w:sz w:val="20"/>
                <w:szCs w:val="20"/>
              </w:rPr>
              <w:t>1</w:t>
            </w:r>
          </w:p>
        </w:tc>
        <w:tc>
          <w:tcPr>
            <w:tcW w:w="1633" w:type="dxa"/>
            <w:shd w:val="clear" w:color="auto" w:fill="E2EFDA"/>
            <w:vAlign w:val="center"/>
          </w:tcPr>
          <w:p>
            <w:pPr>
              <w:widowControl/>
              <w:spacing w:line="400" w:lineRule="exact"/>
              <w:jc w:val="center"/>
              <w:textAlignment w:val="center"/>
              <w:rPr>
                <w:rFonts w:hint="eastAsia" w:eastAsia="仿宋_GB2312"/>
                <w:sz w:val="20"/>
                <w:szCs w:val="20"/>
                <w:lang w:val="en-US" w:eastAsia="zh-CN"/>
              </w:rPr>
            </w:pPr>
            <w:r>
              <w:rPr>
                <w:rFonts w:hint="eastAsia"/>
                <w:kern w:val="0"/>
                <w:sz w:val="20"/>
                <w:szCs w:val="2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jc w:val="center"/>
        </w:trPr>
        <w:tc>
          <w:tcPr>
            <w:tcW w:w="748" w:type="dxa"/>
            <w:shd w:val="clear" w:color="auto" w:fill="auto"/>
            <w:vAlign w:val="center"/>
          </w:tcPr>
          <w:p>
            <w:pPr>
              <w:widowControl/>
              <w:jc w:val="center"/>
              <w:rPr>
                <w:rFonts w:eastAsia="黑体"/>
                <w:bCs/>
                <w:kern w:val="0"/>
                <w:sz w:val="24"/>
              </w:rPr>
            </w:pPr>
          </w:p>
        </w:tc>
        <w:tc>
          <w:tcPr>
            <w:tcW w:w="2487" w:type="dxa"/>
            <w:shd w:val="clear" w:color="auto" w:fill="F2DCDC"/>
            <w:vAlign w:val="center"/>
          </w:tcPr>
          <w:p>
            <w:pPr>
              <w:widowControl/>
              <w:spacing w:line="400" w:lineRule="exact"/>
              <w:jc w:val="center"/>
              <w:rPr>
                <w:rFonts w:eastAsia="黑体"/>
                <w:bCs/>
                <w:kern w:val="0"/>
                <w:sz w:val="24"/>
              </w:rPr>
            </w:pPr>
            <w:r>
              <w:rPr>
                <w:rFonts w:eastAsia="黑体"/>
                <w:bCs/>
                <w:kern w:val="0"/>
                <w:sz w:val="24"/>
              </w:rPr>
              <w:t>总计</w:t>
            </w:r>
          </w:p>
        </w:tc>
        <w:tc>
          <w:tcPr>
            <w:tcW w:w="3483" w:type="dxa"/>
            <w:shd w:val="clear" w:color="auto" w:fill="F2DCDC"/>
            <w:vAlign w:val="center"/>
          </w:tcPr>
          <w:p>
            <w:pPr>
              <w:widowControl/>
              <w:spacing w:line="400" w:lineRule="exact"/>
              <w:jc w:val="center"/>
              <w:rPr>
                <w:rFonts w:hint="eastAsia" w:eastAsia="仿宋_GB2312"/>
                <w:bCs/>
                <w:kern w:val="0"/>
                <w:sz w:val="24"/>
                <w:lang w:val="en-US" w:eastAsia="zh-CN"/>
              </w:rPr>
            </w:pPr>
            <w:r>
              <w:rPr>
                <w:rFonts w:hint="eastAsia"/>
                <w:bCs/>
                <w:kern w:val="0"/>
                <w:sz w:val="24"/>
                <w:lang w:val="en-US" w:eastAsia="zh-CN"/>
              </w:rPr>
              <w:t>2</w:t>
            </w:r>
          </w:p>
        </w:tc>
        <w:tc>
          <w:tcPr>
            <w:tcW w:w="1633" w:type="dxa"/>
            <w:shd w:val="clear" w:color="auto" w:fill="F2DCDC"/>
            <w:vAlign w:val="center"/>
          </w:tcPr>
          <w:p>
            <w:pPr>
              <w:widowControl/>
              <w:spacing w:line="400" w:lineRule="exact"/>
              <w:jc w:val="center"/>
              <w:rPr>
                <w:bCs/>
                <w:kern w:val="0"/>
                <w:sz w:val="24"/>
              </w:rPr>
            </w:pPr>
            <w:r>
              <w:rPr>
                <w:bCs/>
                <w:kern w:val="0"/>
                <w:sz w:val="24"/>
              </w:rPr>
              <w:t>0</w:t>
            </w:r>
          </w:p>
        </w:tc>
        <w:tc>
          <w:tcPr>
            <w:tcW w:w="1633" w:type="dxa"/>
            <w:shd w:val="clear" w:color="auto" w:fill="F2DCDC"/>
            <w:vAlign w:val="center"/>
          </w:tcPr>
          <w:p>
            <w:pPr>
              <w:widowControl/>
              <w:spacing w:line="400" w:lineRule="exact"/>
              <w:jc w:val="center"/>
              <w:rPr>
                <w:rFonts w:hint="eastAsia"/>
                <w:bCs/>
                <w:kern w:val="0"/>
                <w:sz w:val="24"/>
              </w:rPr>
            </w:pPr>
            <w:r>
              <w:rPr>
                <w:rFonts w:hint="eastAsia"/>
                <w:bCs/>
                <w:kern w:val="0"/>
                <w:sz w:val="24"/>
              </w:rPr>
              <w:t>1</w:t>
            </w:r>
          </w:p>
        </w:tc>
        <w:tc>
          <w:tcPr>
            <w:tcW w:w="1633" w:type="dxa"/>
            <w:shd w:val="clear" w:color="auto" w:fill="F2DCDC"/>
            <w:vAlign w:val="center"/>
          </w:tcPr>
          <w:p>
            <w:pPr>
              <w:widowControl/>
              <w:spacing w:line="400" w:lineRule="exact"/>
              <w:jc w:val="center"/>
              <w:rPr>
                <w:rFonts w:hint="eastAsia"/>
                <w:bCs/>
                <w:kern w:val="0"/>
                <w:sz w:val="24"/>
              </w:rPr>
            </w:pPr>
            <w:r>
              <w:rPr>
                <w:rFonts w:hint="eastAsia"/>
                <w:bCs/>
                <w:kern w:val="0"/>
                <w:sz w:val="24"/>
              </w:rPr>
              <w:t>1</w:t>
            </w:r>
          </w:p>
        </w:tc>
        <w:tc>
          <w:tcPr>
            <w:tcW w:w="1633" w:type="dxa"/>
            <w:shd w:val="clear" w:color="auto" w:fill="F2DCDC"/>
            <w:vAlign w:val="center"/>
          </w:tcPr>
          <w:p>
            <w:pPr>
              <w:widowControl/>
              <w:spacing w:line="400" w:lineRule="exact"/>
              <w:jc w:val="center"/>
              <w:rPr>
                <w:rFonts w:hint="eastAsia" w:eastAsia="仿宋_GB2312"/>
                <w:bCs/>
                <w:kern w:val="0"/>
                <w:sz w:val="24"/>
                <w:lang w:eastAsia="zh-CN"/>
              </w:rPr>
            </w:pPr>
            <w:r>
              <w:rPr>
                <w:rFonts w:hint="eastAsia"/>
                <w:bCs/>
                <w:kern w:val="0"/>
                <w:sz w:val="24"/>
                <w:lang w:val="en-US" w:eastAsia="zh-CN"/>
              </w:rPr>
              <w:t>0</w:t>
            </w:r>
          </w:p>
        </w:tc>
      </w:tr>
    </w:tbl>
    <w:p>
      <w:pPr>
        <w:pStyle w:val="2"/>
        <w:rPr>
          <w:rFonts w:hint="eastAsia"/>
        </w:rPr>
        <w:sectPr>
          <w:pgSz w:w="16838" w:h="11906" w:orient="landscape"/>
          <w:pgMar w:top="1588" w:right="2098" w:bottom="1588" w:left="1701" w:header="851" w:footer="1134" w:gutter="0"/>
          <w:pgNumType w:fmt="numberInDash"/>
          <w:cols w:space="720" w:num="1"/>
          <w:docGrid w:type="lines" w:linePitch="435" w:charSpace="0"/>
        </w:sect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sz w:val="21"/>
          <w:szCs w:val="21"/>
        </w:rPr>
      </w:pPr>
    </w:p>
    <w:p>
      <w:pPr>
        <w:pBdr>
          <w:bottom w:val="single" w:color="auto" w:sz="4" w:space="0"/>
        </w:pBdr>
        <w:adjustRightInd w:val="0"/>
        <w:snapToGrid w:val="0"/>
        <w:rPr>
          <w:rFonts w:ascii="仿宋" w:hAnsi="仿宋" w:eastAsia="仿宋" w:cs="仿宋"/>
          <w:sz w:val="10"/>
          <w:szCs w:val="10"/>
        </w:rPr>
      </w:pPr>
    </w:p>
    <w:p>
      <w:pPr>
        <w:spacing w:line="560" w:lineRule="exact"/>
        <w:ind w:left="1159" w:leftChars="133" w:hanging="840" w:hangingChars="300"/>
        <w:jc w:val="left"/>
        <w:rPr>
          <w:rFonts w:ascii="仿宋" w:hAnsi="仿宋" w:eastAsia="仿宋" w:cs="仿宋"/>
          <w:sz w:val="28"/>
          <w:szCs w:val="28"/>
        </w:rPr>
      </w:pPr>
      <w:r>
        <w:rPr>
          <w:rFonts w:hint="eastAsia" w:ascii="仿宋" w:hAnsi="仿宋" w:eastAsia="仿宋" w:cs="仿宋"/>
          <w:sz w:val="28"/>
          <w:szCs w:val="28"/>
        </w:rPr>
        <w:t>抄送：县委办公室，县人大常委会办公室，县政协办公室，县法院，县检察院。</w:t>
      </w:r>
    </w:p>
    <w:p>
      <w:pPr>
        <w:pBdr>
          <w:top w:val="single" w:color="auto" w:sz="4" w:space="0"/>
          <w:bottom w:val="single" w:color="auto" w:sz="4" w:space="0"/>
        </w:pBdr>
        <w:spacing w:line="560" w:lineRule="exact"/>
        <w:ind w:firstLine="280" w:firstLineChars="100"/>
        <w:jc w:val="left"/>
        <w:rPr>
          <w:rFonts w:ascii="仿宋" w:hAnsi="仿宋" w:eastAsia="仿宋" w:cs="仿宋"/>
          <w:sz w:val="28"/>
          <w:szCs w:val="28"/>
        </w:rPr>
      </w:pPr>
      <w:r>
        <w:rPr>
          <w:rFonts w:hint="eastAsia" w:ascii="仿宋" w:hAnsi="仿宋" w:eastAsia="仿宋" w:cs="仿宋"/>
          <w:sz w:val="28"/>
          <w:szCs w:val="28"/>
        </w:rPr>
        <w:t xml:space="preserve">保德县人民政府办公室                </w:t>
      </w:r>
      <w:r>
        <w:rPr>
          <w:rFonts w:hint="eastAsia" w:ascii="仿宋" w:hAnsi="仿宋" w:eastAsia="仿宋" w:cs="仿宋"/>
          <w:sz w:val="10"/>
          <w:szCs w:val="10"/>
          <w:lang w:val="en-US" w:eastAsia="zh-CN"/>
        </w:rPr>
        <w:t xml:space="preserve">    </w:t>
      </w:r>
      <w:r>
        <w:rPr>
          <w:rFonts w:hint="eastAsia" w:ascii="仿宋" w:hAnsi="仿宋" w:eastAsia="仿宋" w:cs="仿宋"/>
          <w:sz w:val="28"/>
          <w:szCs w:val="28"/>
        </w:rPr>
        <w:t>2022年</w:t>
      </w:r>
      <w:r>
        <w:rPr>
          <w:rFonts w:hint="eastAsia" w:ascii="仿宋" w:hAnsi="仿宋" w:eastAsia="仿宋" w:cs="仿宋"/>
          <w:sz w:val="28"/>
          <w:szCs w:val="28"/>
          <w:lang w:val="en-US" w:eastAsia="zh-CN"/>
        </w:rPr>
        <w:t>12</w:t>
      </w:r>
      <w:r>
        <w:rPr>
          <w:rFonts w:hint="eastAsia" w:ascii="仿宋" w:hAnsi="仿宋" w:eastAsia="仿宋" w:cs="仿宋"/>
          <w:sz w:val="28"/>
          <w:szCs w:val="28"/>
        </w:rPr>
        <w:t>月</w:t>
      </w:r>
      <w:r>
        <w:rPr>
          <w:rFonts w:hint="eastAsia" w:ascii="仿宋" w:hAnsi="仿宋" w:eastAsia="仿宋" w:cs="仿宋"/>
          <w:sz w:val="28"/>
          <w:szCs w:val="28"/>
          <w:lang w:val="en-US" w:eastAsia="zh-CN"/>
        </w:rPr>
        <w:t>1</w:t>
      </w:r>
      <w:r>
        <w:rPr>
          <w:rFonts w:hint="default" w:ascii="仿宋" w:hAnsi="仿宋" w:eastAsia="仿宋" w:cs="仿宋"/>
          <w:sz w:val="28"/>
          <w:szCs w:val="28"/>
          <w:lang w:val="en-US" w:eastAsia="zh-CN"/>
        </w:rPr>
        <w:t>9</w:t>
      </w:r>
      <w:r>
        <w:rPr>
          <w:rFonts w:hint="eastAsia" w:ascii="仿宋" w:hAnsi="仿宋" w:eastAsia="仿宋" w:cs="仿宋"/>
          <w:sz w:val="28"/>
          <w:szCs w:val="28"/>
        </w:rPr>
        <w:t>日印发</w:t>
      </w:r>
    </w:p>
    <w:p>
      <w:pPr>
        <w:keepNext w:val="0"/>
        <w:keepLines w:val="0"/>
        <w:pageBreakBefore w:val="0"/>
        <w:widowControl/>
        <w:tabs>
          <w:tab w:val="left" w:pos="8190"/>
        </w:tabs>
        <w:kinsoku/>
        <w:wordWrap/>
        <w:overflowPunct/>
        <w:topLinePunct w:val="0"/>
        <w:autoSpaceDE/>
        <w:autoSpaceDN/>
        <w:bidi w:val="0"/>
        <w:adjustRightInd w:val="0"/>
        <w:snapToGrid w:val="0"/>
        <w:jc w:val="both"/>
        <w:textAlignment w:val="auto"/>
        <w:rPr>
          <w:rFonts w:hint="eastAsia" w:ascii="仿宋" w:hAnsi="仿宋" w:eastAsia="仿宋" w:cs="仿宋"/>
          <w:sz w:val="28"/>
          <w:szCs w:val="28"/>
        </w:rPr>
      </w:pPr>
      <w:r>
        <w:rPr>
          <w:rFonts w:hint="eastAsia" w:ascii="仿宋" w:hAnsi="仿宋" w:eastAsia="仿宋" w:cs="仿宋"/>
          <w:sz w:val="28"/>
          <w:szCs w:val="28"/>
        </w:rPr>
        <w:t xml:space="preserve">                                                   共印50份 </w:t>
      </w:r>
    </w:p>
    <w:p>
      <w:pPr>
        <w:rPr>
          <w:rFonts w:hint="eastAsia"/>
          <w:sz w:val="10"/>
          <w:szCs w:val="10"/>
        </w:rPr>
      </w:pPr>
    </w:p>
    <w:p>
      <w:pPr>
        <w:pStyle w:val="2"/>
        <w:rPr>
          <w:rFonts w:hint="eastAsia"/>
          <w:sz w:val="10"/>
          <w:szCs w:val="10"/>
        </w:rPr>
      </w:pPr>
    </w:p>
    <w:sectPr>
      <w:footerReference r:id="rId5" w:type="default"/>
      <w:pgSz w:w="11906" w:h="16838"/>
      <w:pgMar w:top="2098" w:right="1587" w:bottom="2041" w:left="1587" w:header="709" w:footer="709" w:gutter="0"/>
      <w:pgNumType w:fmt="numberInDash"/>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8A30306-9236-428E-BD45-C8668AD08CB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1BC369D-FF56-44EC-8DAD-6DF3BC5F9044}"/>
  </w:font>
  <w:font w:name="方正小标宋_GBK">
    <w:altName w:val="Arial Unicode MS"/>
    <w:panose1 w:val="02000000000000000000"/>
    <w:charset w:val="86"/>
    <w:family w:val="script"/>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embedRegular r:id="rId3" w:fontKey="{0353AABC-5A62-4BA7-B3D1-0909E9A98ACB}"/>
  </w:font>
  <w:font w:name="微软雅黑">
    <w:panose1 w:val="020B0503020204020204"/>
    <w:charset w:val="86"/>
    <w:family w:val="swiss"/>
    <w:pitch w:val="default"/>
    <w:sig w:usb0="80000287" w:usb1="280F3C52" w:usb2="00000016" w:usb3="00000000" w:csb0="0004001F" w:csb1="00000000"/>
    <w:embedRegular r:id="rId4" w:fontKey="{595A2225-4722-431A-B22D-D24AEAD2536A}"/>
  </w:font>
  <w:font w:name="Arial Unicode MS">
    <w:panose1 w:val="020B0604020202020204"/>
    <w:charset w:val="86"/>
    <w:family w:val="auto"/>
    <w:pitch w:val="default"/>
    <w:sig w:usb0="FFFFFFFF" w:usb1="E9FFFFFF" w:usb2="0000003F" w:usb3="00000000" w:csb0="603F01FF" w:csb1="FFFF0000"/>
    <w:embedRegular r:id="rId5" w:fontKey="{232D8AF5-3B6B-402F-B8C4-9357D175FF89}"/>
  </w:font>
  <w:font w:name="华文中宋">
    <w:panose1 w:val="02010600040101010101"/>
    <w:charset w:val="86"/>
    <w:family w:val="auto"/>
    <w:pitch w:val="default"/>
    <w:sig w:usb0="00000287" w:usb1="080F0000" w:usb2="00000000" w:usb3="00000000" w:csb0="0004009F" w:csb1="DFD70000"/>
    <w:embedRegular r:id="rId6" w:fontKey="{C7AD0805-B5A3-4A31-BC26-E7FADA663347}"/>
  </w:font>
  <w:font w:name="仿宋_GB2312">
    <w:altName w:val="仿宋"/>
    <w:panose1 w:val="02010609030000010101"/>
    <w:charset w:val="86"/>
    <w:family w:val="roman"/>
    <w:pitch w:val="default"/>
    <w:sig w:usb0="00000000" w:usb1="00000000" w:usb2="00000000" w:usb3="00000000" w:csb0="00040000" w:csb1="00000000"/>
    <w:embedRegular r:id="rId7" w:fontKey="{A755EB3A-83D1-42BA-AF86-2E7E409F4A0C}"/>
  </w:font>
  <w:font w:name="楷体_GB2312">
    <w:altName w:val="楷体"/>
    <w:panose1 w:val="02010609030000010101"/>
    <w:charset w:val="86"/>
    <w:family w:val="modern"/>
    <w:pitch w:val="default"/>
    <w:sig w:usb0="00000000" w:usb1="00000000" w:usb2="00000000" w:usb3="00000000" w:csb0="00040000" w:csb1="00000000"/>
    <w:embedRegular r:id="rId8" w:fontKey="{97DD8CB1-9CDD-40FB-ADB1-A12B5416DDB3}"/>
  </w:font>
  <w:font w:name="楷体">
    <w:panose1 w:val="02010609060101010101"/>
    <w:charset w:val="86"/>
    <w:family w:val="modern"/>
    <w:pitch w:val="default"/>
    <w:sig w:usb0="800002BF" w:usb1="38CF7CFA" w:usb2="00000016" w:usb3="00000000" w:csb0="00040001" w:csb1="00000000"/>
    <w:embedRegular r:id="rId9" w:fontKey="{60EE8678-EC71-48D8-8E81-AAC2C8A72D6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eastAsia="宋体"/>
        <w:sz w:val="24"/>
      </w:rPr>
    </w:pPr>
    <w:r>
      <w:fldChar w:fldCharType="begin"/>
    </w:r>
    <w:r>
      <w:instrText xml:space="preserve"> PAGE   \* MERGEFORMAT </w:instrText>
    </w:r>
    <w:r>
      <w:fldChar w:fldCharType="separate"/>
    </w:r>
    <w:r>
      <w:rPr>
        <w:rFonts w:ascii="宋体" w:hAnsi="宋体" w:eastAsia="宋体"/>
        <w:sz w:val="24"/>
        <w:lang w:val="zh-CN"/>
      </w:rPr>
      <w:t>-</w:t>
    </w:r>
    <w:r>
      <w:rPr>
        <w:rFonts w:ascii="宋体" w:hAnsi="宋体" w:eastAsia="宋体"/>
        <w:sz w:val="24"/>
      </w:rPr>
      <w:t xml:space="preserve"> 49 -</w:t>
    </w:r>
    <w:r>
      <w:rPr>
        <w:rFonts w:ascii="宋体" w:hAnsi="宋体" w:eastAsia="宋体"/>
        <w:sz w:val="24"/>
      </w:rPr>
      <w:fldChar w:fldCharType="end"/>
    </w:r>
  </w:p>
  <w:p>
    <w:pPr>
      <w:pStyle w:val="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eastAsia="宋体"/>
        <w:sz w:val="24"/>
      </w:rPr>
    </w:pPr>
    <w:r>
      <w:rPr>
        <w:rFonts w:ascii="宋体" w:hAnsi="宋体" w:eastAsia="宋体"/>
        <w:sz w:val="24"/>
      </w:rPr>
      <w:fldChar w:fldCharType="begin"/>
    </w:r>
    <w:r>
      <w:rPr>
        <w:rFonts w:ascii="宋体" w:hAnsi="宋体" w:eastAsia="宋体"/>
        <w:sz w:val="24"/>
      </w:rPr>
      <w:instrText xml:space="preserve"> PAGE   \* MERGEFORMAT </w:instrText>
    </w:r>
    <w:r>
      <w:rPr>
        <w:rFonts w:ascii="宋体" w:hAnsi="宋体" w:eastAsia="宋体"/>
        <w:sz w:val="24"/>
      </w:rPr>
      <w:fldChar w:fldCharType="separate"/>
    </w:r>
    <w:r>
      <w:rPr>
        <w:rFonts w:ascii="宋体" w:hAnsi="宋体" w:eastAsia="宋体"/>
        <w:sz w:val="24"/>
        <w:lang w:val="zh-CN"/>
      </w:rPr>
      <w:t>-</w:t>
    </w:r>
    <w:r>
      <w:rPr>
        <w:rFonts w:ascii="宋体" w:hAnsi="宋体" w:eastAsia="宋体"/>
        <w:sz w:val="24"/>
      </w:rPr>
      <w:t xml:space="preserve"> 42 -</w:t>
    </w:r>
    <w:r>
      <w:rPr>
        <w:rFonts w:ascii="宋体" w:hAnsi="宋体" w:eastAsia="宋体"/>
        <w:sz w:val="24"/>
      </w:rPr>
      <w:fldChar w:fldCharType="end"/>
    </w:r>
  </w:p>
  <w:p>
    <w:pPr>
      <w:pStyle w:val="9"/>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upright="0">
                      <a:spAutoFit/>
                    </wps:bodyPr>
                  </wps:wsp>
                </a:graphicData>
              </a:graphic>
            </wp:anchor>
          </w:drawing>
        </mc:Choice>
        <mc:Fallback>
          <w:pict>
            <v:rect id="文本框 10"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hSGXONIBAACfAwAADgAAAAAAAAABACAAAAAfAQAA&#10;ZHJzL2Uyb0RvYy54bWxQSwUGAAAAAAYABgBZAQAAYwUAAAAA&#10;">
              <v:fill on="f" focussize="0,0"/>
              <v:stroke on="f"/>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TrueTypeFonts/>
  <w:saveSubsetFonts/>
  <w:bordersDoNotSurroundHeader w:val="1"/>
  <w:bordersDoNotSurroundFooter w:val="1"/>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iMTFmYzdjMTg5OWVmY2IxNjI1ODNhYjZmNThlMDUifQ=="/>
  </w:docVars>
  <w:rsids>
    <w:rsidRoot w:val="00000000"/>
    <w:rsid w:val="36C769A1"/>
    <w:rsid w:val="585B5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en-US" w:bidi="ar-SA"/>
    </w:rPr>
  </w:style>
  <w:style w:type="paragraph" w:styleId="8">
    <w:name w:val="heading 1"/>
    <w:basedOn w:val="1"/>
    <w:next w:val="1"/>
    <w:qFormat/>
    <w:uiPriority w:val="0"/>
    <w:pPr>
      <w:keepNext/>
      <w:keepLines/>
      <w:spacing w:before="340" w:after="330" w:line="576" w:lineRule="auto"/>
      <w:outlineLvl w:val="0"/>
    </w:pPr>
    <w:rPr>
      <w:b/>
      <w:kern w:val="44"/>
      <w:sz w:val="44"/>
    </w:rPr>
  </w:style>
  <w:style w:type="character" w:default="1" w:styleId="14">
    <w:name w:val="Default Paragraph Font"/>
    <w:qFormat/>
    <w:uiPriority w:val="1"/>
  </w:style>
  <w:style w:type="table" w:default="1" w:styleId="12">
    <w:name w:val="Normal Table"/>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keepNext w:val="0"/>
      <w:keepLines w:val="0"/>
      <w:widowControl w:val="0"/>
      <w:suppressLineNumbers w:val="0"/>
      <w:spacing w:before="0" w:beforeAutospacing="0" w:after="120" w:afterAutospacing="0"/>
      <w:ind w:left="200" w:leftChars="200" w:right="0" w:firstLine="200" w:firstLineChars="200"/>
      <w:jc w:val="both"/>
    </w:pPr>
    <w:rPr>
      <w:rFonts w:ascii="Calibri" w:hAnsi="Calibri"/>
    </w:rPr>
  </w:style>
  <w:style w:type="paragraph" w:styleId="3">
    <w:name w:val="Body Text Indent"/>
    <w:basedOn w:val="1"/>
    <w:next w:val="4"/>
    <w:qFormat/>
    <w:uiPriority w:val="0"/>
    <w:pPr>
      <w:spacing w:after="120"/>
      <w:ind w:left="200" w:leftChars="200"/>
    </w:pPr>
  </w:style>
  <w:style w:type="paragraph" w:styleId="4">
    <w:name w:val="header"/>
    <w:basedOn w:val="1"/>
    <w:next w:val="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alloon Text"/>
    <w:basedOn w:val="1"/>
    <w:next w:val="6"/>
    <w:link w:val="16"/>
    <w:qFormat/>
    <w:uiPriority w:val="0"/>
    <w:rPr>
      <w:sz w:val="18"/>
      <w:szCs w:val="18"/>
    </w:rPr>
  </w:style>
  <w:style w:type="paragraph" w:styleId="6">
    <w:name w:val="annotation text"/>
    <w:basedOn w:val="1"/>
    <w:next w:val="7"/>
    <w:qFormat/>
    <w:uiPriority w:val="0"/>
    <w:pPr>
      <w:widowControl w:val="0"/>
      <w:ind w:firstLine="3584"/>
      <w:jc w:val="both"/>
    </w:pPr>
    <w:rPr>
      <w:rFonts w:ascii="Calibri" w:hAnsi="Calibri" w:eastAsia="宋体" w:cs="Times New Roman"/>
      <w:kern w:val="2"/>
      <w:sz w:val="21"/>
      <w:szCs w:val="24"/>
      <w:lang w:val="en-US" w:eastAsia="zh-CN" w:bidi="ar-SA"/>
    </w:rPr>
  </w:style>
  <w:style w:type="paragraph" w:styleId="7">
    <w:name w:val="Normal (Web)"/>
    <w:basedOn w:val="1"/>
    <w:next w:val="1"/>
    <w:qFormat/>
    <w:uiPriority w:val="99"/>
    <w:pPr>
      <w:spacing w:before="100" w:beforeAutospacing="1" w:after="100" w:afterAutospacing="1"/>
    </w:pPr>
    <w:rPr>
      <w:rFonts w:ascii="宋体" w:hAnsi="宋体" w:eastAsia="宋体" w:cs="宋体"/>
      <w:lang w:eastAsia="zh-CN"/>
    </w:rPr>
  </w:style>
  <w:style w:type="paragraph" w:styleId="9">
    <w:name w:val="footer"/>
    <w:basedOn w:val="1"/>
    <w:qFormat/>
    <w:uiPriority w:val="0"/>
    <w:pPr>
      <w:tabs>
        <w:tab w:val="center" w:pos="4153"/>
        <w:tab w:val="right" w:pos="8306"/>
      </w:tabs>
      <w:snapToGrid w:val="0"/>
      <w:jc w:val="left"/>
    </w:pPr>
    <w:rPr>
      <w:sz w:val="18"/>
    </w:rPr>
  </w:style>
  <w:style w:type="paragraph" w:styleId="10">
    <w:name w:val="toc 1"/>
    <w:basedOn w:val="1"/>
    <w:next w:val="1"/>
    <w:qFormat/>
    <w:uiPriority w:val="0"/>
    <w:rPr>
      <w:rFonts w:ascii="Calibri" w:hAnsi="Calibri" w:eastAsia="宋体"/>
      <w:sz w:val="21"/>
    </w:rPr>
  </w:style>
  <w:style w:type="paragraph" w:styleId="11">
    <w:name w:val="toc 2"/>
    <w:basedOn w:val="1"/>
    <w:next w:val="1"/>
    <w:qFormat/>
    <w:uiPriority w:val="0"/>
    <w:pPr>
      <w:ind w:left="420" w:leftChars="200"/>
    </w:pPr>
    <w:rPr>
      <w:rFonts w:ascii="Calibri" w:hAnsi="Calibri" w:eastAsia="宋体"/>
      <w:sz w:val="21"/>
    </w:rPr>
  </w:style>
  <w:style w:type="table" w:styleId="13">
    <w:name w:val="Table Grid"/>
    <w:basedOn w:val="1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customStyle="1" w:styleId="16">
    <w:name w:val="批注框文本 字符"/>
    <w:basedOn w:val="14"/>
    <w:link w:val="5"/>
    <w:qFormat/>
    <w:uiPriority w:val="0"/>
    <w:rPr>
      <w:sz w:val="18"/>
      <w:szCs w:val="18"/>
    </w:rPr>
  </w:style>
  <w:style w:type="paragraph" w:customStyle="1" w:styleId="17">
    <w:name w:val="Default"/>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42</Pages>
  <Words>18075</Words>
  <Characters>18547</Characters>
  <Paragraphs>671</Paragraphs>
  <TotalTime>78</TotalTime>
  <ScaleCrop>false</ScaleCrop>
  <LinksUpToDate>false</LinksUpToDate>
  <CharactersWithSpaces>18686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2022-11-14T01:58:00Z</dcterms:created>
  <dc:creator>Administrator</dc:creator>
  <cp:lastModifiedBy>Administrator</cp:lastModifiedBy>
  <dcterms:modified xsi:type="dcterms:W3CDTF">2023-02-10T03:10:17Z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82F68C3332DE44B482A91D0D1B5FFF13</vt:lpwstr>
  </property>
</Properties>
</file>