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uto"/>
        <w:jc w:val="center"/>
        <w:textAlignment w:val="auto"/>
        <w:rPr>
          <w:rFonts w:hint="eastAsia" w:ascii="宋体" w:hAnsi="宋体" w:eastAsia="宋体" w:cs="宋体"/>
          <w:b/>
          <w:bCs w:val="0"/>
          <w:sz w:val="44"/>
          <w:szCs w:val="44"/>
          <w:shd w:val="clear" w:color="auto" w:fill="FFFFFF"/>
        </w:rPr>
      </w:pPr>
      <w:r>
        <w:rPr>
          <w:rFonts w:hint="eastAsia" w:ascii="宋体" w:hAnsi="宋体" w:eastAsia="宋体" w:cs="宋体"/>
          <w:b/>
          <w:bCs w:val="0"/>
          <w:sz w:val="44"/>
          <w:szCs w:val="44"/>
          <w:shd w:val="clear" w:color="auto" w:fill="FFFFFF"/>
        </w:rPr>
        <w:t>保德</w:t>
      </w:r>
      <w:r>
        <w:rPr>
          <w:rFonts w:hint="eastAsia" w:ascii="宋体" w:hAnsi="宋体" w:eastAsia="宋体" w:cs="宋体"/>
          <w:b/>
          <w:bCs w:val="0"/>
          <w:sz w:val="44"/>
          <w:szCs w:val="44"/>
          <w:shd w:val="clear" w:color="auto" w:fill="FFFFFF"/>
          <w:lang w:eastAsia="zh-CN"/>
        </w:rPr>
        <w:t>县能源</w:t>
      </w:r>
      <w:r>
        <w:rPr>
          <w:rFonts w:hint="eastAsia" w:ascii="宋体" w:hAnsi="宋体" w:eastAsia="宋体" w:cs="宋体"/>
          <w:b/>
          <w:bCs w:val="0"/>
          <w:sz w:val="44"/>
          <w:szCs w:val="44"/>
          <w:shd w:val="clear" w:color="auto" w:fill="FFFFFF"/>
        </w:rPr>
        <w:t>局</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uto"/>
        <w:jc w:val="center"/>
        <w:textAlignment w:val="auto"/>
        <w:rPr>
          <w:rFonts w:hint="eastAsia" w:ascii="宋体" w:hAnsi="宋体" w:eastAsia="宋体" w:cs="宋体"/>
          <w:b/>
          <w:bCs w:val="0"/>
          <w:sz w:val="44"/>
          <w:szCs w:val="44"/>
          <w:shd w:val="clear" w:color="auto" w:fill="FFFFFF"/>
        </w:rPr>
      </w:pPr>
      <w:r>
        <w:rPr>
          <w:rFonts w:hint="eastAsia" w:ascii="宋体" w:hAnsi="宋体" w:eastAsia="宋体" w:cs="宋体"/>
          <w:b/>
          <w:bCs w:val="0"/>
          <w:sz w:val="44"/>
          <w:szCs w:val="44"/>
          <w:shd w:val="clear" w:color="auto" w:fill="FFFFFF"/>
        </w:rPr>
        <w:t>202</w:t>
      </w:r>
      <w:r>
        <w:rPr>
          <w:rFonts w:hint="eastAsia" w:ascii="宋体" w:hAnsi="宋体" w:cs="宋体"/>
          <w:b/>
          <w:bCs w:val="0"/>
          <w:sz w:val="44"/>
          <w:szCs w:val="44"/>
          <w:shd w:val="clear" w:color="auto" w:fill="FFFFFF"/>
          <w:lang w:val="en-US" w:eastAsia="zh-CN"/>
        </w:rPr>
        <w:t>4</w:t>
      </w:r>
      <w:r>
        <w:rPr>
          <w:rFonts w:hint="eastAsia" w:ascii="宋体" w:hAnsi="宋体" w:eastAsia="宋体" w:cs="宋体"/>
          <w:b/>
          <w:bCs w:val="0"/>
          <w:sz w:val="44"/>
          <w:szCs w:val="44"/>
          <w:shd w:val="clear" w:color="auto" w:fill="FFFFFF"/>
        </w:rPr>
        <w:t>年政府信息公开工作</w:t>
      </w:r>
      <w:r>
        <w:rPr>
          <w:rFonts w:hint="eastAsia" w:ascii="宋体" w:hAnsi="宋体" w:cs="宋体"/>
          <w:b/>
          <w:bCs w:val="0"/>
          <w:sz w:val="44"/>
          <w:szCs w:val="44"/>
          <w:shd w:val="clear" w:color="auto" w:fill="FFFFFF"/>
          <w:lang w:eastAsia="zh-CN"/>
        </w:rPr>
        <w:t>年度</w:t>
      </w:r>
      <w:r>
        <w:rPr>
          <w:rFonts w:hint="eastAsia" w:ascii="宋体" w:hAnsi="宋体" w:eastAsia="宋体" w:cs="宋体"/>
          <w:b/>
          <w:bCs w:val="0"/>
          <w:sz w:val="44"/>
          <w:szCs w:val="44"/>
          <w:shd w:val="clear" w:color="auto" w:fill="FFFFFF"/>
        </w:rPr>
        <w:t>报告</w:t>
      </w:r>
    </w:p>
    <w:p>
      <w:pPr>
        <w:pStyle w:val="5"/>
        <w:widowControl/>
        <w:shd w:val="clear" w:color="auto" w:fill="FFFFFF"/>
        <w:spacing w:beforeAutospacing="0" w:afterAutospacing="0"/>
        <w:jc w:val="center"/>
        <w:rPr>
          <w:rFonts w:hint="eastAsia" w:ascii="宋体" w:hAnsi="宋体" w:eastAsia="宋体" w:cs="宋体"/>
          <w:bCs/>
          <w:sz w:val="32"/>
          <w:szCs w:val="32"/>
          <w:shd w:val="clear" w:color="auto" w:fill="FFFFFF"/>
        </w:rPr>
      </w:pPr>
    </w:p>
    <w:p>
      <w:pPr>
        <w:pStyle w:val="5"/>
        <w:spacing w:beforeAutospacing="0" w:afterAutospacing="0" w:line="480" w:lineRule="auto"/>
        <w:ind w:firstLine="640" w:firstLineChars="200"/>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根据《中华人民共和国政府信息公开条例》和《中华人民共和国政府信息公开工作年度报告格式》的要求，编制本报告。本报告中所列数据的统计期限自202</w:t>
      </w:r>
      <w:r>
        <w:rPr>
          <w:rFonts w:hint="eastAsia" w:ascii="宋体" w:hAnsi="宋体" w:cs="宋体"/>
          <w:sz w:val="32"/>
          <w:szCs w:val="32"/>
          <w:lang w:val="en-US" w:eastAsia="zh-CN"/>
        </w:rPr>
        <w:t>4</w:t>
      </w:r>
      <w:r>
        <w:rPr>
          <w:rFonts w:hint="eastAsia" w:ascii="宋体" w:hAnsi="宋体" w:eastAsia="宋体" w:cs="宋体"/>
          <w:sz w:val="32"/>
          <w:szCs w:val="32"/>
          <w:lang w:val="en-US" w:eastAsia="zh-CN"/>
        </w:rPr>
        <w:t>年1月1日起至202</w:t>
      </w:r>
      <w:r>
        <w:rPr>
          <w:rFonts w:hint="eastAsia" w:ascii="宋体" w:hAnsi="宋体" w:cs="宋体"/>
          <w:sz w:val="32"/>
          <w:szCs w:val="32"/>
          <w:lang w:val="en-US" w:eastAsia="zh-CN"/>
        </w:rPr>
        <w:t>4</w:t>
      </w:r>
      <w:r>
        <w:rPr>
          <w:rFonts w:hint="eastAsia" w:ascii="宋体" w:hAnsi="宋体" w:eastAsia="宋体" w:cs="宋体"/>
          <w:sz w:val="32"/>
          <w:szCs w:val="32"/>
          <w:lang w:val="en-US" w:eastAsia="zh-CN"/>
        </w:rPr>
        <w:t>年12月31日止。</w:t>
      </w:r>
    </w:p>
    <w:p>
      <w:pPr>
        <w:pStyle w:val="5"/>
        <w:spacing w:beforeAutospacing="0" w:afterAutospacing="0" w:line="480" w:lineRule="auto"/>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一、总体情况</w:t>
      </w:r>
    </w:p>
    <w:p>
      <w:pPr>
        <w:pStyle w:val="5"/>
        <w:spacing w:beforeAutospacing="0" w:afterAutospacing="0" w:line="480" w:lineRule="auto"/>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根据县政府办公室《关于认真做好政府信息公开工作年报的通知》要求，</w:t>
      </w:r>
      <w:r>
        <w:rPr>
          <w:rFonts w:hint="eastAsia" w:ascii="宋体" w:hAnsi="宋体" w:eastAsia="宋体" w:cs="宋体"/>
          <w:sz w:val="32"/>
          <w:szCs w:val="32"/>
        </w:rPr>
        <w:t>我局高度重视政府信息公开工作，认真</w:t>
      </w:r>
      <w:r>
        <w:rPr>
          <w:rFonts w:hint="eastAsia" w:ascii="宋体" w:hAnsi="宋体" w:eastAsia="宋体" w:cs="宋体"/>
          <w:sz w:val="32"/>
          <w:szCs w:val="32"/>
          <w:lang w:eastAsia="zh-CN"/>
        </w:rPr>
        <w:t>组织</w:t>
      </w:r>
      <w:r>
        <w:rPr>
          <w:rFonts w:hint="eastAsia" w:ascii="宋体" w:hAnsi="宋体" w:eastAsia="宋体" w:cs="宋体"/>
          <w:sz w:val="32"/>
          <w:szCs w:val="32"/>
        </w:rPr>
        <w:t>学习</w:t>
      </w:r>
      <w:r>
        <w:rPr>
          <w:rFonts w:hint="eastAsia" w:ascii="宋体" w:hAnsi="宋体" w:eastAsia="宋体" w:cs="宋体"/>
          <w:sz w:val="32"/>
          <w:szCs w:val="32"/>
          <w:lang w:eastAsia="zh-CN"/>
        </w:rPr>
        <w:t>，</w:t>
      </w:r>
      <w:r>
        <w:rPr>
          <w:rFonts w:hint="eastAsia" w:ascii="宋体" w:hAnsi="宋体" w:eastAsia="宋体" w:cs="宋体"/>
          <w:sz w:val="32"/>
          <w:szCs w:val="32"/>
        </w:rPr>
        <w:t>狠抓政府信息公开各项制度落实，全力提升保障人民群众知情权、参与权和监督权的能力水平，不断推动政府信息公开工作取得新成效。充实公开内容，深化公开力度。继续简化办事环节，优化运行流程，确保行政权力事项和公共服务事项运行更加高效便民，对涉及群众切身利益的政策调整进行重点解读，全面、准确地表述文件的出合背景、重点内容、特色亮点、落实措施与办事指引等，使政策内容更加直观、更容易理解。</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(一)加强组织领导，</w:t>
      </w:r>
      <w:r>
        <w:rPr>
          <w:rFonts w:hint="eastAsia" w:ascii="宋体" w:hAnsi="宋体" w:eastAsia="宋体" w:cs="宋体"/>
          <w:b/>
          <w:bCs/>
          <w:sz w:val="32"/>
          <w:szCs w:val="32"/>
          <w:lang w:eastAsia="zh-CN"/>
        </w:rPr>
        <w:t>成立</w:t>
      </w:r>
      <w:r>
        <w:rPr>
          <w:rFonts w:hint="eastAsia" w:ascii="宋体" w:hAnsi="宋体" w:eastAsia="宋体" w:cs="宋体"/>
          <w:b/>
          <w:bCs/>
          <w:sz w:val="32"/>
          <w:szCs w:val="32"/>
        </w:rPr>
        <w:t>政府信息公开</w:t>
      </w:r>
      <w:r>
        <w:rPr>
          <w:rFonts w:hint="eastAsia" w:ascii="宋体" w:hAnsi="宋体" w:eastAsia="宋体" w:cs="宋体"/>
          <w:b/>
          <w:bCs/>
          <w:sz w:val="32"/>
          <w:szCs w:val="32"/>
          <w:lang w:eastAsia="zh-CN"/>
        </w:rPr>
        <w:t>专班</w:t>
      </w:r>
      <w:r>
        <w:rPr>
          <w:rFonts w:hint="eastAsia" w:ascii="宋体" w:hAnsi="宋体" w:eastAsia="宋体" w:cs="宋体"/>
          <w:b/>
          <w:bCs/>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成立了由局</w:t>
      </w:r>
      <w:r>
        <w:rPr>
          <w:rFonts w:hint="eastAsia" w:ascii="宋体" w:hAnsi="宋体" w:eastAsia="宋体" w:cs="宋体"/>
          <w:sz w:val="32"/>
          <w:szCs w:val="32"/>
          <w:lang w:eastAsia="zh-CN"/>
        </w:rPr>
        <w:t>长任</w:t>
      </w:r>
      <w:r>
        <w:rPr>
          <w:rFonts w:hint="eastAsia" w:ascii="宋体" w:hAnsi="宋体" w:eastAsia="宋体" w:cs="宋体"/>
          <w:sz w:val="32"/>
          <w:szCs w:val="32"/>
        </w:rPr>
        <w:t>组长，各</w:t>
      </w:r>
      <w:r>
        <w:rPr>
          <w:rFonts w:hint="eastAsia" w:ascii="宋体" w:hAnsi="宋体" w:eastAsia="宋体" w:cs="宋体"/>
          <w:sz w:val="32"/>
          <w:szCs w:val="32"/>
          <w:lang w:eastAsia="zh-CN"/>
        </w:rPr>
        <w:t>分管领导，股</w:t>
      </w:r>
      <w:r>
        <w:rPr>
          <w:rFonts w:hint="eastAsia" w:ascii="宋体" w:hAnsi="宋体" w:eastAsia="宋体" w:cs="宋体"/>
          <w:sz w:val="32"/>
          <w:szCs w:val="32"/>
        </w:rPr>
        <w:t>室负责人担任成员</w:t>
      </w:r>
      <w:r>
        <w:rPr>
          <w:rFonts w:hint="eastAsia" w:ascii="宋体" w:hAnsi="宋体" w:eastAsia="宋体" w:cs="宋体"/>
          <w:sz w:val="32"/>
          <w:szCs w:val="32"/>
          <w:lang w:eastAsia="zh-CN"/>
        </w:rPr>
        <w:t>的</w:t>
      </w:r>
      <w:r>
        <w:rPr>
          <w:rFonts w:hint="eastAsia" w:ascii="宋体" w:hAnsi="宋体" w:eastAsia="宋体" w:cs="宋体"/>
          <w:sz w:val="32"/>
          <w:szCs w:val="32"/>
        </w:rPr>
        <w:t>信息公开工作领导小组。</w:t>
      </w:r>
      <w:r>
        <w:rPr>
          <w:rFonts w:hint="eastAsia" w:ascii="宋体" w:hAnsi="宋体" w:eastAsia="宋体" w:cs="宋体"/>
          <w:sz w:val="32"/>
          <w:szCs w:val="32"/>
          <w:lang w:eastAsia="zh-CN"/>
        </w:rPr>
        <w:t>领导组多次</w:t>
      </w:r>
      <w:r>
        <w:rPr>
          <w:rFonts w:hint="eastAsia" w:ascii="宋体" w:hAnsi="宋体" w:eastAsia="宋体" w:cs="宋体"/>
          <w:sz w:val="32"/>
          <w:szCs w:val="32"/>
        </w:rPr>
        <w:t>召开信息公开工作的专题会议，贯彻落实省、市、县关于开展政府信息公开工作的各项方针、政策，指导推进全</w:t>
      </w:r>
      <w:r>
        <w:rPr>
          <w:rFonts w:hint="eastAsia" w:ascii="宋体" w:hAnsi="宋体" w:eastAsia="宋体" w:cs="宋体"/>
          <w:sz w:val="32"/>
          <w:szCs w:val="32"/>
          <w:lang w:eastAsia="zh-CN"/>
        </w:rPr>
        <w:t>局</w:t>
      </w:r>
      <w:r>
        <w:rPr>
          <w:rFonts w:hint="eastAsia" w:ascii="宋体" w:hAnsi="宋体" w:eastAsia="宋体" w:cs="宋体"/>
          <w:sz w:val="32"/>
          <w:szCs w:val="32"/>
        </w:rPr>
        <w:t>政府信息公开工作，为深化政府信息公开工作提供强有力的保证。</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(二)加强制度建设，积极推进政府信息公开工作。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建立预先审查、主动公开和依申请公开制度。通过预先审查，严格控制</w:t>
      </w:r>
      <w:r>
        <w:rPr>
          <w:rFonts w:hint="eastAsia" w:ascii="宋体" w:hAnsi="宋体" w:eastAsia="宋体" w:cs="宋体"/>
          <w:sz w:val="32"/>
          <w:szCs w:val="32"/>
          <w:lang w:eastAsia="zh-CN"/>
        </w:rPr>
        <w:t>信息公开</w:t>
      </w:r>
      <w:r>
        <w:rPr>
          <w:rFonts w:hint="eastAsia" w:ascii="宋体" w:hAnsi="宋体" w:eastAsia="宋体" w:cs="宋体"/>
          <w:sz w:val="32"/>
          <w:szCs w:val="32"/>
        </w:rPr>
        <w:t>范围</w:t>
      </w:r>
      <w:r>
        <w:rPr>
          <w:rFonts w:hint="eastAsia" w:ascii="宋体" w:hAnsi="宋体" w:eastAsia="宋体" w:cs="宋体"/>
          <w:sz w:val="32"/>
          <w:szCs w:val="32"/>
          <w:lang w:eastAsia="zh-CN"/>
        </w:rPr>
        <w:t>；</w:t>
      </w:r>
      <w:r>
        <w:rPr>
          <w:rFonts w:hint="eastAsia" w:ascii="宋体" w:hAnsi="宋体" w:eastAsia="宋体" w:cs="宋体"/>
          <w:sz w:val="32"/>
          <w:szCs w:val="32"/>
        </w:rPr>
        <w:t>根据法律法规和有关规定，确定依申请公开的事项、公开对象和范围，明确受理申请部门、方式和程序等</w:t>
      </w:r>
      <w:r>
        <w:rPr>
          <w:rFonts w:hint="eastAsia" w:ascii="宋体" w:hAnsi="宋体" w:eastAsia="宋体" w:cs="宋体"/>
          <w:sz w:val="32"/>
          <w:szCs w:val="32"/>
          <w:lang w:eastAsia="zh-CN"/>
        </w:rPr>
        <w:t>。</w:t>
      </w:r>
    </w:p>
    <w:p>
      <w:pPr>
        <w:pStyle w:val="5"/>
        <w:spacing w:beforeAutospacing="0" w:afterAutospacing="0" w:line="480" w:lineRule="auto"/>
        <w:ind w:firstLine="643" w:firstLineChars="20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二、主动公开政府信息情况</w:t>
      </w:r>
    </w:p>
    <w:tbl>
      <w:tblPr>
        <w:tblStyle w:val="6"/>
        <w:tblpPr w:leftFromText="180" w:rightFromText="180" w:vertAnchor="text" w:horzAnchor="page" w:tblpXSpec="center" w:tblpY="494"/>
        <w:tblOverlap w:val="never"/>
        <w:tblW w:w="8860" w:type="dxa"/>
        <w:jc w:val="center"/>
        <w:tblInd w:w="0" w:type="dxa"/>
        <w:shd w:val="clear" w:color="auto" w:fill="FFFFFF"/>
        <w:tblLayout w:type="fixed"/>
        <w:tblCellMar>
          <w:top w:w="0" w:type="dxa"/>
          <w:left w:w="0" w:type="dxa"/>
          <w:bottom w:w="0" w:type="dxa"/>
          <w:right w:w="0" w:type="dxa"/>
        </w:tblCellMar>
      </w:tblPr>
      <w:tblGrid>
        <w:gridCol w:w="3388"/>
        <w:gridCol w:w="2033"/>
        <w:gridCol w:w="1673"/>
        <w:gridCol w:w="1766"/>
      </w:tblGrid>
      <w:tr>
        <w:tblPrEx>
          <w:shd w:val="clear" w:color="auto" w:fill="FFFFFF"/>
          <w:tblLayout w:type="fixed"/>
          <w:tblCellMar>
            <w:top w:w="0" w:type="dxa"/>
            <w:left w:w="0" w:type="dxa"/>
            <w:bottom w:w="0" w:type="dxa"/>
            <w:right w:w="0" w:type="dxa"/>
          </w:tblCellMar>
        </w:tblPrEx>
        <w:trPr>
          <w:trHeight w:val="521" w:hRule="atLeast"/>
          <w:jc w:val="center"/>
        </w:trPr>
        <w:tc>
          <w:tcPr>
            <w:tcW w:w="8860" w:type="dxa"/>
            <w:gridSpan w:val="4"/>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tabs>
                <w:tab w:val="left" w:pos="3018"/>
              </w:tabs>
              <w:spacing w:after="180"/>
              <w:jc w:val="center"/>
              <w:rPr>
                <w:rFonts w:hint="eastAsia" w:eastAsia="宋体"/>
                <w:color w:val="000000"/>
                <w:highlight w:val="none"/>
                <w:lang w:eastAsia="zh-CN"/>
              </w:rPr>
            </w:pPr>
            <w:r>
              <w:rPr>
                <w:rFonts w:hint="eastAsia" w:ascii="宋体" w:hAnsi="宋体" w:eastAsia="宋体" w:cs="宋体"/>
                <w:color w:val="000000"/>
                <w:kern w:val="0"/>
                <w:sz w:val="20"/>
                <w:szCs w:val="20"/>
                <w:highlight w:val="none"/>
              </w:rPr>
              <w:t>第二十条第（一）项</w:t>
            </w:r>
          </w:p>
        </w:tc>
      </w:tr>
      <w:tr>
        <w:tblPrEx>
          <w:tblLayout w:type="fixed"/>
          <w:tblCellMar>
            <w:top w:w="0" w:type="dxa"/>
            <w:left w:w="0" w:type="dxa"/>
            <w:bottom w:w="0" w:type="dxa"/>
            <w:right w:w="0" w:type="dxa"/>
          </w:tblCellMar>
        </w:tblPrEx>
        <w:trPr>
          <w:trHeight w:val="562"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信息内容</w:t>
            </w:r>
          </w:p>
        </w:tc>
        <w:tc>
          <w:tcPr>
            <w:tcW w:w="2033"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本年新</w:t>
            </w:r>
            <w:r>
              <w:rPr>
                <w:color w:val="000000"/>
                <w:kern w:val="0"/>
                <w:sz w:val="20"/>
                <w:szCs w:val="20"/>
                <w:highlight w:val="none"/>
              </w:rPr>
              <w:t>制</w:t>
            </w:r>
            <w:r>
              <w:rPr>
                <w:rFonts w:hint="eastAsia"/>
                <w:color w:val="000000"/>
                <w:kern w:val="0"/>
                <w:sz w:val="20"/>
                <w:szCs w:val="20"/>
                <w:highlight w:val="none"/>
              </w:rPr>
              <w:t>发件数</w:t>
            </w:r>
          </w:p>
        </w:tc>
        <w:tc>
          <w:tcPr>
            <w:tcW w:w="167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本年废止件数</w:t>
            </w:r>
          </w:p>
        </w:tc>
        <w:tc>
          <w:tcPr>
            <w:tcW w:w="176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现行有效件数</w:t>
            </w:r>
          </w:p>
        </w:tc>
      </w:tr>
      <w:tr>
        <w:tblPrEx>
          <w:tblLayout w:type="fixed"/>
          <w:tblCellMar>
            <w:top w:w="0" w:type="dxa"/>
            <w:left w:w="0" w:type="dxa"/>
            <w:bottom w:w="0" w:type="dxa"/>
            <w:right w:w="0" w:type="dxa"/>
          </w:tblCellMar>
        </w:tblPrEx>
        <w:trPr>
          <w:trHeight w:val="549"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规章</w:t>
            </w:r>
          </w:p>
        </w:tc>
        <w:tc>
          <w:tcPr>
            <w:tcW w:w="2033"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ascii="宋体" w:hAnsi="宋体" w:eastAsia="宋体" w:cs="宋体"/>
                <w:color w:val="000000"/>
                <w:kern w:val="0"/>
                <w:sz w:val="20"/>
                <w:szCs w:val="20"/>
                <w:highlight w:val="none"/>
              </w:rPr>
              <w:t>0</w:t>
            </w:r>
          </w:p>
        </w:tc>
        <w:tc>
          <w:tcPr>
            <w:tcW w:w="1673"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80"/>
              <w:jc w:val="center"/>
              <w:rPr>
                <w:color w:val="000000"/>
                <w:highlight w:val="none"/>
              </w:rPr>
            </w:pPr>
            <w:r>
              <w:rPr>
                <w:rFonts w:hint="eastAsia"/>
                <w:color w:val="000000"/>
                <w:highlight w:val="none"/>
              </w:rPr>
              <w:t>0</w:t>
            </w:r>
          </w:p>
        </w:tc>
        <w:tc>
          <w:tcPr>
            <w:tcW w:w="176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color w:val="000000"/>
                <w:highlight w:val="none"/>
              </w:rPr>
              <w:t>0</w:t>
            </w:r>
          </w:p>
        </w:tc>
      </w:tr>
      <w:tr>
        <w:tblPrEx>
          <w:tblLayout w:type="fixed"/>
          <w:tblCellMar>
            <w:top w:w="0" w:type="dxa"/>
            <w:left w:w="0" w:type="dxa"/>
            <w:bottom w:w="0" w:type="dxa"/>
            <w:right w:w="0" w:type="dxa"/>
          </w:tblCellMar>
        </w:tblPrEx>
        <w:trPr>
          <w:trHeight w:val="518"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规范性文件</w:t>
            </w:r>
          </w:p>
        </w:tc>
        <w:tc>
          <w:tcPr>
            <w:tcW w:w="2033"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ascii="宋体" w:hAnsi="宋体" w:eastAsia="宋体" w:cs="宋体"/>
                <w:color w:val="000000"/>
                <w:kern w:val="0"/>
                <w:sz w:val="20"/>
                <w:szCs w:val="20"/>
                <w:highlight w:val="none"/>
              </w:rPr>
              <w:t>0</w:t>
            </w:r>
          </w:p>
        </w:tc>
        <w:tc>
          <w:tcPr>
            <w:tcW w:w="1673"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after="180"/>
              <w:jc w:val="center"/>
              <w:rPr>
                <w:color w:val="000000"/>
                <w:highlight w:val="none"/>
              </w:rPr>
            </w:pPr>
            <w:r>
              <w:rPr>
                <w:rFonts w:hint="eastAsia"/>
                <w:color w:val="000000"/>
                <w:highlight w:val="none"/>
              </w:rPr>
              <w:t>0</w:t>
            </w:r>
          </w:p>
        </w:tc>
        <w:tc>
          <w:tcPr>
            <w:tcW w:w="176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color w:val="000000"/>
                <w:highlight w:val="none"/>
              </w:rPr>
              <w:t>0</w:t>
            </w:r>
          </w:p>
        </w:tc>
      </w:tr>
      <w:tr>
        <w:tblPrEx>
          <w:tblLayout w:type="fixed"/>
          <w:tblCellMar>
            <w:top w:w="0" w:type="dxa"/>
            <w:left w:w="0" w:type="dxa"/>
            <w:bottom w:w="0" w:type="dxa"/>
            <w:right w:w="0" w:type="dxa"/>
          </w:tblCellMar>
        </w:tblPrEx>
        <w:trPr>
          <w:trHeight w:val="366" w:hRule="atLeast"/>
          <w:jc w:val="center"/>
        </w:trPr>
        <w:tc>
          <w:tcPr>
            <w:tcW w:w="8860"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第二十条第（五）项</w:t>
            </w:r>
          </w:p>
        </w:tc>
      </w:tr>
      <w:tr>
        <w:tblPrEx>
          <w:tblLayout w:type="fixed"/>
          <w:tblCellMar>
            <w:top w:w="0" w:type="dxa"/>
            <w:left w:w="0" w:type="dxa"/>
            <w:bottom w:w="0" w:type="dxa"/>
            <w:right w:w="0" w:type="dxa"/>
          </w:tblCellMar>
        </w:tblPrEx>
        <w:trPr>
          <w:trHeight w:val="569"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信息内容</w:t>
            </w:r>
          </w:p>
        </w:tc>
        <w:tc>
          <w:tcPr>
            <w:tcW w:w="5472" w:type="dxa"/>
            <w:gridSpan w:val="3"/>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color w:val="000000"/>
                <w:highlight w:val="none"/>
              </w:rPr>
              <w:t>本年处理决定数量</w:t>
            </w:r>
          </w:p>
        </w:tc>
      </w:tr>
      <w:tr>
        <w:tblPrEx>
          <w:tblLayout w:type="fixed"/>
          <w:tblCellMar>
            <w:top w:w="0" w:type="dxa"/>
            <w:left w:w="0" w:type="dxa"/>
            <w:bottom w:w="0" w:type="dxa"/>
            <w:right w:w="0" w:type="dxa"/>
          </w:tblCellMar>
        </w:tblPrEx>
        <w:trPr>
          <w:trHeight w:val="433"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行政许可</w:t>
            </w:r>
          </w:p>
        </w:tc>
        <w:tc>
          <w:tcPr>
            <w:tcW w:w="5472" w:type="dxa"/>
            <w:gridSpan w:val="3"/>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color w:val="000000"/>
                <w:highlight w:val="none"/>
              </w:rPr>
              <w:t>0</w:t>
            </w:r>
          </w:p>
        </w:tc>
      </w:tr>
      <w:tr>
        <w:tblPrEx>
          <w:tblLayout w:type="fixed"/>
          <w:tblCellMar>
            <w:top w:w="0" w:type="dxa"/>
            <w:left w:w="0" w:type="dxa"/>
            <w:bottom w:w="0" w:type="dxa"/>
            <w:right w:w="0" w:type="dxa"/>
          </w:tblCellMar>
        </w:tblPrEx>
        <w:trPr>
          <w:trHeight w:val="518" w:hRule="atLeast"/>
          <w:jc w:val="center"/>
        </w:trPr>
        <w:tc>
          <w:tcPr>
            <w:tcW w:w="8860"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ascii="宋体" w:hAnsi="宋体" w:eastAsia="宋体" w:cs="宋体"/>
                <w:color w:val="000000"/>
                <w:kern w:val="0"/>
                <w:sz w:val="20"/>
                <w:szCs w:val="20"/>
                <w:highlight w:val="none"/>
              </w:rPr>
              <w:t>第二十条第（六）项</w:t>
            </w:r>
          </w:p>
        </w:tc>
      </w:tr>
      <w:tr>
        <w:tblPrEx>
          <w:tblLayout w:type="fixed"/>
          <w:tblCellMar>
            <w:top w:w="0" w:type="dxa"/>
            <w:left w:w="0" w:type="dxa"/>
            <w:bottom w:w="0" w:type="dxa"/>
            <w:right w:w="0" w:type="dxa"/>
          </w:tblCellMar>
        </w:tblPrEx>
        <w:trPr>
          <w:trHeight w:val="479"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信息内容</w:t>
            </w:r>
          </w:p>
        </w:tc>
        <w:tc>
          <w:tcPr>
            <w:tcW w:w="5472" w:type="dxa"/>
            <w:gridSpan w:val="3"/>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ascii="宋体" w:hAnsi="宋体" w:eastAsia="宋体" w:cs="宋体"/>
                <w:color w:val="000000"/>
                <w:kern w:val="0"/>
                <w:sz w:val="20"/>
                <w:szCs w:val="20"/>
                <w:highlight w:val="none"/>
              </w:rPr>
              <w:t>本年处理决定数量</w:t>
            </w:r>
          </w:p>
        </w:tc>
      </w:tr>
      <w:tr>
        <w:tblPrEx>
          <w:tblLayout w:type="fixed"/>
          <w:tblCellMar>
            <w:top w:w="0" w:type="dxa"/>
            <w:left w:w="0" w:type="dxa"/>
            <w:bottom w:w="0" w:type="dxa"/>
            <w:right w:w="0" w:type="dxa"/>
          </w:tblCellMar>
        </w:tblPrEx>
        <w:trPr>
          <w:trHeight w:val="381"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行政处罚</w:t>
            </w:r>
          </w:p>
        </w:tc>
        <w:tc>
          <w:tcPr>
            <w:tcW w:w="5472" w:type="dxa"/>
            <w:gridSpan w:val="3"/>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rFonts w:hint="eastAsia" w:eastAsia="宋体"/>
                <w:color w:val="000000"/>
                <w:highlight w:val="none"/>
                <w:lang w:eastAsia="zh-CN"/>
              </w:rPr>
            </w:pPr>
            <w:r>
              <w:rPr>
                <w:rFonts w:hint="eastAsia" w:ascii="宋体" w:hAnsi="宋体" w:eastAsia="宋体" w:cs="宋体"/>
                <w:color w:val="000000"/>
                <w:kern w:val="0"/>
                <w:sz w:val="20"/>
                <w:szCs w:val="20"/>
                <w:highlight w:val="none"/>
                <w:lang w:val="en-US" w:eastAsia="zh-CN"/>
              </w:rPr>
              <w:t>0</w:t>
            </w:r>
          </w:p>
        </w:tc>
      </w:tr>
      <w:tr>
        <w:tblPrEx>
          <w:tblLayout w:type="fixed"/>
          <w:tblCellMar>
            <w:top w:w="0" w:type="dxa"/>
            <w:left w:w="0" w:type="dxa"/>
            <w:bottom w:w="0" w:type="dxa"/>
            <w:right w:w="0" w:type="dxa"/>
          </w:tblCellMar>
        </w:tblPrEx>
        <w:trPr>
          <w:trHeight w:val="427"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行政强制</w:t>
            </w:r>
          </w:p>
        </w:tc>
        <w:tc>
          <w:tcPr>
            <w:tcW w:w="5472" w:type="dxa"/>
            <w:gridSpan w:val="3"/>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color w:val="000000"/>
                <w:highlight w:val="none"/>
              </w:rPr>
              <w:t>0</w:t>
            </w:r>
          </w:p>
        </w:tc>
      </w:tr>
      <w:tr>
        <w:tblPrEx>
          <w:tblLayout w:type="fixed"/>
          <w:tblCellMar>
            <w:top w:w="0" w:type="dxa"/>
            <w:left w:w="0" w:type="dxa"/>
            <w:bottom w:w="0" w:type="dxa"/>
            <w:right w:w="0" w:type="dxa"/>
          </w:tblCellMar>
        </w:tblPrEx>
        <w:trPr>
          <w:trHeight w:val="396" w:hRule="atLeast"/>
          <w:jc w:val="center"/>
        </w:trPr>
        <w:tc>
          <w:tcPr>
            <w:tcW w:w="8860"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第二十条第（八）项</w:t>
            </w:r>
          </w:p>
        </w:tc>
      </w:tr>
      <w:tr>
        <w:tblPrEx>
          <w:tblLayout w:type="fixed"/>
          <w:tblCellMar>
            <w:top w:w="0" w:type="dxa"/>
            <w:left w:w="0" w:type="dxa"/>
            <w:bottom w:w="0" w:type="dxa"/>
            <w:right w:w="0" w:type="dxa"/>
          </w:tblCellMar>
        </w:tblPrEx>
        <w:trPr>
          <w:trHeight w:val="412"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信息内容</w:t>
            </w:r>
          </w:p>
        </w:tc>
        <w:tc>
          <w:tcPr>
            <w:tcW w:w="5472"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widowControl/>
              <w:spacing w:after="180"/>
              <w:jc w:val="center"/>
              <w:rPr>
                <w:color w:val="000000"/>
                <w:highlight w:val="none"/>
              </w:rPr>
            </w:pPr>
            <w:r>
              <w:rPr>
                <w:rFonts w:hint="eastAsia" w:ascii="宋体" w:hAnsi="宋体" w:eastAsia="宋体" w:cs="宋体"/>
                <w:color w:val="000000"/>
                <w:kern w:val="0"/>
                <w:sz w:val="20"/>
                <w:szCs w:val="20"/>
                <w:highlight w:val="none"/>
              </w:rPr>
              <w:t>本年收费金额（单位：万元）</w:t>
            </w:r>
          </w:p>
        </w:tc>
      </w:tr>
      <w:tr>
        <w:tblPrEx>
          <w:tblLayout w:type="fixed"/>
          <w:tblCellMar>
            <w:top w:w="0" w:type="dxa"/>
            <w:left w:w="0" w:type="dxa"/>
            <w:bottom w:w="0" w:type="dxa"/>
            <w:right w:w="0" w:type="dxa"/>
          </w:tblCellMar>
        </w:tblPrEx>
        <w:trPr>
          <w:trHeight w:val="577" w:hRule="atLeast"/>
          <w:jc w:val="center"/>
        </w:trPr>
        <w:tc>
          <w:tcPr>
            <w:tcW w:w="33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after="180"/>
              <w:rPr>
                <w:color w:val="000000"/>
                <w:highlight w:val="none"/>
              </w:rPr>
            </w:pPr>
            <w:r>
              <w:rPr>
                <w:rFonts w:hint="eastAsia" w:ascii="宋体" w:hAnsi="宋体" w:eastAsia="宋体" w:cs="宋体"/>
                <w:color w:val="000000"/>
                <w:kern w:val="0"/>
                <w:sz w:val="20"/>
                <w:szCs w:val="20"/>
                <w:highlight w:val="none"/>
              </w:rPr>
              <w:t>行政事业性收费</w:t>
            </w:r>
          </w:p>
        </w:tc>
        <w:tc>
          <w:tcPr>
            <w:tcW w:w="5472"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widowControl/>
              <w:spacing w:after="180"/>
              <w:jc w:val="center"/>
              <w:rPr>
                <w:rFonts w:hint="eastAsia" w:eastAsia="宋体"/>
                <w:color w:val="000000"/>
                <w:highlight w:val="none"/>
                <w:lang w:eastAsia="zh-CN"/>
              </w:rPr>
            </w:pPr>
            <w:r>
              <w:rPr>
                <w:rFonts w:hint="eastAsia"/>
                <w:color w:val="000000"/>
                <w:highlight w:val="none"/>
                <w:lang w:val="en-US" w:eastAsia="zh-CN"/>
              </w:rPr>
              <w:t>0</w:t>
            </w:r>
          </w:p>
        </w:tc>
      </w:tr>
    </w:tbl>
    <w:p>
      <w:pPr>
        <w:pStyle w:val="5"/>
        <w:widowControl/>
        <w:shd w:val="clear" w:color="auto" w:fill="FFFFFF"/>
        <w:spacing w:beforeAutospacing="0" w:after="240" w:afterAutospacing="0"/>
        <w:ind w:firstLine="640" w:firstLineChars="200"/>
        <w:jc w:val="both"/>
        <w:rPr>
          <w:rFonts w:ascii="黑体" w:hAnsi="黑体" w:eastAsia="黑体" w:cs="黑体"/>
          <w:bCs/>
          <w:sz w:val="32"/>
          <w:szCs w:val="32"/>
        </w:rPr>
      </w:pPr>
      <w:r>
        <w:rPr>
          <w:rFonts w:hint="eastAsia" w:ascii="黑体" w:hAnsi="黑体" w:eastAsia="黑体" w:cs="黑体"/>
          <w:bCs/>
          <w:sz w:val="32"/>
          <w:szCs w:val="32"/>
          <w:shd w:val="clear" w:color="auto" w:fill="FFFFFF"/>
        </w:rPr>
        <w:t>三、收到和处理政府信息公开申请情况</w:t>
      </w:r>
    </w:p>
    <w:tbl>
      <w:tblPr>
        <w:tblStyle w:val="6"/>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02"/>
        <w:gridCol w:w="782"/>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社会公益组织</w:t>
            </w:r>
          </w:p>
        </w:tc>
        <w:tc>
          <w:tcPr>
            <w:tcW w:w="9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法律服务机构</w:t>
            </w:r>
          </w:p>
        </w:tc>
        <w:tc>
          <w:tcPr>
            <w:tcW w:w="7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7" w:hRule="atLeast"/>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楷体" w:hAnsi="楷体" w:eastAsia="楷体" w:cs="楷体"/>
                <w:kern w:val="0"/>
                <w:sz w:val="20"/>
                <w:szCs w:val="20"/>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9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78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sz w:val="24"/>
              </w:rPr>
              <w:t>0</w:t>
            </w:r>
          </w:p>
        </w:tc>
      </w:tr>
    </w:tbl>
    <w:p>
      <w:pPr>
        <w:pStyle w:val="5"/>
        <w:widowControl/>
        <w:shd w:val="clear" w:color="auto" w:fill="FFFFFF"/>
        <w:spacing w:beforeAutospacing="0" w:afterAutospacing="0"/>
        <w:ind w:firstLine="420"/>
        <w:jc w:val="both"/>
        <w:rPr>
          <w:rFonts w:ascii="宋体" w:hAnsi="宋体" w:eastAsia="宋体" w:cs="宋体"/>
        </w:rPr>
      </w:pPr>
    </w:p>
    <w:p>
      <w:pPr>
        <w:pStyle w:val="5"/>
        <w:widowControl/>
        <w:shd w:val="clear" w:color="auto" w:fill="FFFFFF"/>
        <w:spacing w:beforeAutospacing="0" w:afterAutospacing="0"/>
        <w:ind w:firstLine="420"/>
        <w:jc w:val="both"/>
        <w:rPr>
          <w:rFonts w:ascii="黑体" w:hAnsi="黑体" w:eastAsia="黑体" w:cs="黑体"/>
          <w:bCs/>
          <w:sz w:val="32"/>
          <w:szCs w:val="32"/>
        </w:rPr>
      </w:pPr>
      <w:r>
        <w:rPr>
          <w:rFonts w:hint="eastAsia" w:ascii="黑体" w:hAnsi="黑体" w:eastAsia="黑体" w:cs="黑体"/>
          <w:bCs/>
          <w:sz w:val="32"/>
          <w:szCs w:val="32"/>
          <w:shd w:val="clear" w:color="auto" w:fill="FFFFFF"/>
        </w:rPr>
        <w:t>四、政府信息公开行政复议、行政诉讼情况</w:t>
      </w:r>
    </w:p>
    <w:p>
      <w:pPr>
        <w:pStyle w:val="5"/>
        <w:widowControl/>
        <w:shd w:val="clear" w:color="auto" w:fill="FFFFFF"/>
        <w:spacing w:beforeAutospacing="0" w:afterAutospacing="0"/>
        <w:ind w:firstLine="420"/>
        <w:jc w:val="both"/>
        <w:rPr>
          <w:rFonts w:ascii="宋体" w:hAnsi="宋体" w:eastAsia="宋体" w:cs="宋体"/>
        </w:rPr>
      </w:pPr>
    </w:p>
    <w:tbl>
      <w:tblPr>
        <w:tblStyle w:val="6"/>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eastAsia="宋体" w:cs="宋体"/>
                <w:sz w:val="24"/>
              </w:rPr>
              <w:t>0</w:t>
            </w:r>
          </w:p>
        </w:tc>
      </w:tr>
    </w:tbl>
    <w:p>
      <w:pPr>
        <w:pStyle w:val="5"/>
        <w:widowControl/>
        <w:shd w:val="clear" w:color="auto" w:fill="FFFFFF"/>
        <w:spacing w:beforeAutospacing="0" w:afterAutospacing="0" w:line="560" w:lineRule="exact"/>
        <w:jc w:val="both"/>
        <w:rPr>
          <w:rFonts w:ascii="黑体" w:hAnsi="黑体" w:eastAsia="黑体" w:cs="黑体"/>
          <w:bCs/>
          <w:sz w:val="32"/>
          <w:szCs w:val="32"/>
          <w:shd w:val="clear" w:color="auto" w:fill="FFFFFF"/>
        </w:rPr>
      </w:pPr>
    </w:p>
    <w:p>
      <w:pPr>
        <w:pStyle w:val="5"/>
        <w:spacing w:beforeAutospacing="0" w:afterAutospacing="0" w:line="480" w:lineRule="auto"/>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五、存在的主要问题及改进情况</w:t>
      </w:r>
    </w:p>
    <w:p>
      <w:pPr>
        <w:pStyle w:val="5"/>
        <w:spacing w:beforeAutospacing="0" w:afterAutospacing="0" w:line="480" w:lineRule="auto"/>
        <w:ind w:firstLine="640" w:firstLineChars="200"/>
        <w:jc w:val="both"/>
        <w:rPr>
          <w:rFonts w:hint="eastAsia"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sz w:val="32"/>
          <w:szCs w:val="32"/>
        </w:rPr>
        <w:t>存在的主要问题</w:t>
      </w:r>
      <w:r>
        <w:rPr>
          <w:rFonts w:hint="eastAsia" w:ascii="宋体" w:hAnsi="宋体" w:cs="宋体"/>
          <w:sz w:val="32"/>
          <w:szCs w:val="32"/>
          <w:lang w:eastAsia="zh-CN"/>
        </w:rPr>
        <w:t>：</w:t>
      </w:r>
      <w:r>
        <w:rPr>
          <w:rFonts w:hint="eastAsia" w:ascii="宋体" w:hAnsi="宋体" w:cs="宋体"/>
          <w:sz w:val="32"/>
          <w:szCs w:val="32"/>
          <w:lang w:val="en-US" w:eastAsia="zh-CN"/>
        </w:rPr>
        <w:t xml:space="preserve"> </w:t>
      </w:r>
      <w:r>
        <w:rPr>
          <w:spacing w:val="2"/>
          <w:sz w:val="31"/>
          <w:szCs w:val="31"/>
        </w:rPr>
        <w:t>一是信息公开的时效性有待提升，部</w:t>
      </w:r>
      <w:r>
        <w:rPr>
          <w:spacing w:val="18"/>
          <w:sz w:val="31"/>
          <w:szCs w:val="31"/>
        </w:rPr>
        <w:t xml:space="preserve"> </w:t>
      </w:r>
      <w:r>
        <w:rPr>
          <w:spacing w:val="5"/>
          <w:sz w:val="31"/>
          <w:szCs w:val="31"/>
        </w:rPr>
        <w:t>分信息的更新速度不够快，未能及时反映我局工作的最新动</w:t>
      </w:r>
      <w:r>
        <w:rPr>
          <w:sz w:val="31"/>
          <w:szCs w:val="31"/>
        </w:rPr>
        <w:t xml:space="preserve"> </w:t>
      </w:r>
      <w:r>
        <w:rPr>
          <w:spacing w:val="3"/>
          <w:sz w:val="31"/>
          <w:szCs w:val="31"/>
        </w:rPr>
        <w:t>态。二是信息公开的内容有待丰富：在部分领域，如政策解</w:t>
      </w:r>
      <w:r>
        <w:rPr>
          <w:spacing w:val="14"/>
          <w:sz w:val="31"/>
          <w:szCs w:val="31"/>
        </w:rPr>
        <w:t xml:space="preserve"> </w:t>
      </w:r>
      <w:r>
        <w:rPr>
          <w:spacing w:val="6"/>
          <w:sz w:val="31"/>
          <w:szCs w:val="31"/>
        </w:rPr>
        <w:t>读、公众参与等方面，信息公开的内容还不够全面和深入</w:t>
      </w:r>
      <w:r>
        <w:rPr>
          <w:rFonts w:hint="eastAsia"/>
          <w:spacing w:val="6"/>
          <w:sz w:val="31"/>
          <w:szCs w:val="31"/>
          <w:lang w:eastAsia="zh-CN"/>
        </w:rPr>
        <w:t>。</w:t>
      </w:r>
      <w:r>
        <w:rPr>
          <w:spacing w:val="2"/>
          <w:sz w:val="31"/>
          <w:szCs w:val="31"/>
        </w:rPr>
        <w:t>解决办法和改进措施：一是加强信息更新的时效性，我</w:t>
      </w:r>
      <w:r>
        <w:rPr>
          <w:spacing w:val="18"/>
          <w:sz w:val="31"/>
          <w:szCs w:val="31"/>
        </w:rPr>
        <w:t xml:space="preserve"> </w:t>
      </w:r>
      <w:r>
        <w:rPr>
          <w:spacing w:val="3"/>
          <w:sz w:val="31"/>
          <w:szCs w:val="31"/>
        </w:rPr>
        <w:t>们建立了更加完善的信息更新机制，确保各类政府信息能够</w:t>
      </w:r>
      <w:r>
        <w:rPr>
          <w:spacing w:val="15"/>
          <w:sz w:val="31"/>
          <w:szCs w:val="31"/>
        </w:rPr>
        <w:t xml:space="preserve"> </w:t>
      </w:r>
      <w:r>
        <w:rPr>
          <w:spacing w:val="4"/>
          <w:sz w:val="31"/>
          <w:szCs w:val="31"/>
        </w:rPr>
        <w:t>及时、准确地公开。同时，我们也加强了与相关部门和单位</w:t>
      </w:r>
      <w:r>
        <w:rPr>
          <w:spacing w:val="14"/>
          <w:sz w:val="31"/>
          <w:szCs w:val="31"/>
        </w:rPr>
        <w:t xml:space="preserve"> </w:t>
      </w:r>
      <w:r>
        <w:rPr>
          <w:spacing w:val="4"/>
          <w:sz w:val="31"/>
          <w:szCs w:val="31"/>
        </w:rPr>
        <w:t>的沟通协调，确保信息的及时共享和更新。</w:t>
      </w:r>
      <w:r>
        <w:rPr>
          <w:rFonts w:hint="eastAsia" w:ascii="宋体" w:hAnsi="宋体" w:eastAsia="宋体" w:cs="宋体"/>
          <w:i w:val="0"/>
          <w:iCs w:val="0"/>
          <w:caps w:val="0"/>
          <w:color w:val="000000"/>
          <w:spacing w:val="0"/>
          <w:kern w:val="2"/>
          <w:sz w:val="32"/>
          <w:szCs w:val="32"/>
          <w:lang w:val="en-US" w:eastAsia="zh-CN" w:bidi="ar-SA"/>
        </w:rPr>
        <w:t>2025年，我局将继续深入贯彻落实《中华人民共和国政府信息公开条例》精神，进一步健全管理制度，加强人员配置、提升培训力度深入积极组织政务信息公开工作政策法规业务知识的学习培训,不断巩固和提高政务信息工作人员业务素质,为信息公开工作的顺利实施提供素质保障。</w:t>
      </w:r>
    </w:p>
    <w:p>
      <w:pPr>
        <w:pStyle w:val="5"/>
        <w:spacing w:beforeAutospacing="0" w:afterAutospacing="0" w:line="480" w:lineRule="auto"/>
        <w:ind w:firstLine="643" w:firstLineChars="200"/>
        <w:jc w:val="both"/>
        <w:rPr>
          <w:rFonts w:hint="eastAsia" w:ascii="宋体" w:hAnsi="宋体" w:eastAsia="宋体" w:cs="宋体"/>
          <w:b/>
          <w:bCs/>
          <w:sz w:val="32"/>
          <w:szCs w:val="32"/>
          <w:shd w:val="clear" w:color="auto" w:fill="FFFFFF"/>
        </w:rPr>
      </w:pPr>
      <w:r>
        <w:rPr>
          <w:rFonts w:hint="eastAsia" w:ascii="宋体" w:hAnsi="宋体" w:eastAsia="宋体" w:cs="宋体"/>
          <w:b/>
          <w:bCs/>
          <w:sz w:val="32"/>
          <w:szCs w:val="32"/>
        </w:rPr>
        <w:t>六、</w:t>
      </w:r>
      <w:r>
        <w:rPr>
          <w:rFonts w:hint="eastAsia" w:ascii="宋体" w:hAnsi="宋体" w:eastAsia="宋体" w:cs="宋体"/>
          <w:b/>
          <w:bCs/>
          <w:sz w:val="32"/>
          <w:szCs w:val="32"/>
          <w:shd w:val="clear" w:color="auto" w:fill="FFFFFF"/>
        </w:rPr>
        <w:t>其他需要报告的事项</w:t>
      </w:r>
    </w:p>
    <w:p>
      <w:pPr>
        <w:pStyle w:val="5"/>
        <w:spacing w:beforeAutospacing="0" w:afterAutospacing="0" w:line="480" w:lineRule="auto"/>
        <w:ind w:firstLine="640" w:firstLineChars="200"/>
        <w:jc w:val="both"/>
        <w:rPr>
          <w:rFonts w:hint="eastAsia" w:ascii="宋体" w:hAnsi="宋体" w:eastAsia="宋体" w:cs="宋体"/>
          <w:bCs/>
          <w:sz w:val="32"/>
          <w:szCs w:val="32"/>
          <w:shd w:val="clear" w:color="auto" w:fill="FFFFFF"/>
          <w:lang w:eastAsia="zh-CN"/>
        </w:rPr>
      </w:pPr>
      <w:r>
        <w:rPr>
          <w:rFonts w:hint="eastAsia" w:ascii="宋体" w:hAnsi="宋体" w:cs="宋体"/>
          <w:bCs/>
          <w:sz w:val="32"/>
          <w:szCs w:val="32"/>
          <w:shd w:val="clear" w:color="auto" w:fill="FFFFFF"/>
          <w:lang w:val="en-US" w:eastAsia="zh-CN"/>
        </w:rPr>
        <w:t>我局</w:t>
      </w:r>
      <w:r>
        <w:rPr>
          <w:rFonts w:hint="eastAsia" w:ascii="宋体" w:hAnsi="宋体" w:eastAsia="宋体" w:cs="宋体"/>
          <w:bCs/>
          <w:sz w:val="32"/>
          <w:szCs w:val="32"/>
          <w:shd w:val="clear" w:color="auto" w:fill="FFFFFF"/>
        </w:rPr>
        <w:t>无</w:t>
      </w:r>
      <w:r>
        <w:rPr>
          <w:rFonts w:hint="eastAsia" w:ascii="宋体" w:hAnsi="宋体" w:cs="宋体"/>
          <w:bCs/>
          <w:sz w:val="32"/>
          <w:szCs w:val="32"/>
          <w:shd w:val="clear" w:color="auto" w:fill="FFFFFF"/>
          <w:lang w:val="en-US" w:eastAsia="zh-CN"/>
        </w:rPr>
        <w:t>其他需要报告的事项</w:t>
      </w:r>
      <w:r>
        <w:rPr>
          <w:rFonts w:hint="eastAsia" w:ascii="宋体" w:hAnsi="宋体" w:eastAsia="宋体" w:cs="宋体"/>
          <w:bCs/>
          <w:sz w:val="32"/>
          <w:szCs w:val="32"/>
          <w:shd w:val="clear" w:color="auto" w:fill="FFFFFF"/>
          <w:lang w:eastAsia="zh-CN"/>
        </w:rPr>
        <w:t>。</w:t>
      </w:r>
    </w:p>
    <w:p>
      <w:pPr>
        <w:wordWrap w:val="0"/>
        <w:spacing w:line="480" w:lineRule="auto"/>
        <w:jc w:val="both"/>
        <w:rPr>
          <w:rFonts w:hint="eastAsia" w:ascii="宋体" w:hAnsi="宋体" w:eastAsia="宋体" w:cs="宋体"/>
          <w:sz w:val="32"/>
          <w:szCs w:val="32"/>
        </w:rPr>
      </w:pPr>
    </w:p>
    <w:p>
      <w:pPr>
        <w:wordWrap w:val="0"/>
        <w:spacing w:line="480" w:lineRule="auto"/>
        <w:ind w:firstLine="5760" w:firstLineChars="1800"/>
        <w:jc w:val="both"/>
        <w:rPr>
          <w:rFonts w:hint="eastAsia" w:ascii="宋体" w:hAnsi="宋体" w:eastAsia="宋体" w:cs="宋体"/>
          <w:sz w:val="32"/>
          <w:szCs w:val="32"/>
          <w:lang w:val="en-US" w:eastAsia="zh-CN"/>
        </w:rPr>
      </w:pPr>
      <w:r>
        <w:rPr>
          <w:rFonts w:hint="eastAsia" w:ascii="宋体" w:hAnsi="宋体" w:eastAsia="宋体" w:cs="宋体"/>
          <w:sz w:val="32"/>
          <w:szCs w:val="32"/>
        </w:rPr>
        <w:t>保德县</w:t>
      </w:r>
      <w:r>
        <w:rPr>
          <w:rFonts w:hint="eastAsia" w:ascii="宋体" w:hAnsi="宋体" w:eastAsia="宋体" w:cs="宋体"/>
          <w:sz w:val="32"/>
          <w:szCs w:val="32"/>
          <w:lang w:eastAsia="zh-CN"/>
        </w:rPr>
        <w:t>能源</w:t>
      </w:r>
      <w:r>
        <w:rPr>
          <w:rFonts w:hint="eastAsia" w:ascii="宋体" w:hAnsi="宋体" w:eastAsia="宋体" w:cs="宋体"/>
          <w:sz w:val="32"/>
          <w:szCs w:val="32"/>
        </w:rPr>
        <w:t>局</w:t>
      </w:r>
      <w:r>
        <w:rPr>
          <w:rFonts w:hint="eastAsia" w:ascii="宋体" w:hAnsi="宋体" w:eastAsia="宋体" w:cs="宋体"/>
          <w:sz w:val="32"/>
          <w:szCs w:val="32"/>
          <w:lang w:val="en-US" w:eastAsia="zh-CN"/>
        </w:rPr>
        <w:t xml:space="preserve">   </w:t>
      </w:r>
    </w:p>
    <w:p>
      <w:pPr>
        <w:wordWrap w:val="0"/>
        <w:spacing w:line="480" w:lineRule="auto"/>
        <w:jc w:val="right"/>
        <w:rPr>
          <w:rFonts w:hint="default" w:ascii="仿宋_GB2312" w:hAnsi="仿宋_GB2312" w:eastAsia="仿宋_GB2312" w:cs="仿宋_GB2312"/>
          <w:sz w:val="32"/>
          <w:szCs w:val="32"/>
          <w:lang w:val="en-US" w:eastAsia="zh-CN"/>
        </w:rPr>
      </w:pPr>
      <w:r>
        <w:rPr>
          <w:rFonts w:hint="eastAsia" w:ascii="宋体" w:hAnsi="宋体" w:eastAsia="宋体" w:cs="宋体"/>
          <w:sz w:val="32"/>
          <w:szCs w:val="32"/>
        </w:rPr>
        <w:t>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2</w:t>
      </w:r>
      <w:r>
        <w:rPr>
          <w:rFonts w:hint="eastAsia" w:ascii="宋体" w:hAnsi="宋体" w:eastAsia="宋体" w:cs="宋体"/>
          <w:sz w:val="32"/>
          <w:szCs w:val="32"/>
        </w:rPr>
        <w:t>月</w:t>
      </w:r>
      <w:r>
        <w:rPr>
          <w:rFonts w:hint="eastAsia" w:ascii="宋体" w:hAnsi="宋体" w:cs="宋体"/>
          <w:sz w:val="32"/>
          <w:szCs w:val="32"/>
          <w:lang w:val="en-US" w:eastAsia="zh-CN"/>
        </w:rPr>
        <w:t>8</w:t>
      </w:r>
      <w:bookmarkStart w:id="0" w:name="_GoBack"/>
      <w:bookmarkEnd w:id="0"/>
      <w:r>
        <w:rPr>
          <w:rFonts w:hint="eastAsia" w:ascii="宋体" w:hAnsi="宋体" w:eastAsia="宋体" w:cs="宋体"/>
          <w:sz w:val="32"/>
          <w:szCs w:val="32"/>
        </w:rPr>
        <w:t>日</w:t>
      </w:r>
      <w:r>
        <w:rPr>
          <w:rFonts w:hint="eastAsia" w:ascii="宋体" w:hAnsi="宋体" w:eastAsia="宋体" w:cs="宋体"/>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NGFmMGZiMDlhYzhhMjI1YjNjMDMyZDVlMjIyM2EifQ=="/>
    <w:docVar w:name="KSO_WPS_MARK_KEY" w:val="9f4f4b32-fdb9-4007-9f6c-68c5b3385000"/>
  </w:docVars>
  <w:rsids>
    <w:rsidRoot w:val="00000000"/>
    <w:rsid w:val="139574F7"/>
    <w:rsid w:val="27562DDC"/>
    <w:rsid w:val="2781707A"/>
    <w:rsid w:val="27AB6AAE"/>
    <w:rsid w:val="324025A1"/>
    <w:rsid w:val="3AEE7D74"/>
    <w:rsid w:val="416076DC"/>
    <w:rsid w:val="4C095B18"/>
    <w:rsid w:val="78B64DD4"/>
    <w:rsid w:val="7B2A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ody Text"/>
    <w:basedOn w:val="1"/>
    <w:qFormat/>
    <w:uiPriority w:val="99"/>
    <w:rPr>
      <w:sz w:val="30"/>
      <w:szCs w:val="3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Calibri" w:hAnsi="Calibri" w:eastAsia="宋体" w:cs="宋体"/>
      <w:kern w:val="2"/>
      <w:sz w:val="18"/>
      <w:szCs w:val="18"/>
    </w:rPr>
  </w:style>
  <w:style w:type="character" w:customStyle="1" w:styleId="9">
    <w:name w:val="页脚 Char"/>
    <w:basedOn w:val="7"/>
    <w:link w:val="3"/>
    <w:qFormat/>
    <w:uiPriority w:val="0"/>
    <w:rPr>
      <w:rFonts w:ascii="Calibri" w:hAnsi="Calibri" w:eastAsia="宋体" w:cs="宋体"/>
      <w:kern w:val="2"/>
      <w:sz w:val="18"/>
      <w:szCs w:val="18"/>
    </w:rPr>
  </w:style>
  <w:style w:type="paragraph" w:styleId="10">
    <w:name w:val="List Paragraph"/>
    <w:basedOn w:val="1"/>
    <w:qFormat/>
    <w:uiPriority w:val="99"/>
    <w:pPr>
      <w:ind w:left="2906" w:hanging="284"/>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1731</Words>
  <Characters>1768</Characters>
  <Paragraphs>383</Paragraphs>
  <TotalTime>0</TotalTime>
  <ScaleCrop>false</ScaleCrop>
  <LinksUpToDate>false</LinksUpToDate>
  <CharactersWithSpaces>1772</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2022-01-20T03:13:00Z</dcterms:created>
  <dc:creator>T</dc:creator>
  <cp:lastModifiedBy>Administrator</cp:lastModifiedBy>
  <cp:lastPrinted>2022-01-24T09:53:00Z</cp:lastPrinted>
  <dcterms:modified xsi:type="dcterms:W3CDTF">2025-02-14T07:41:15Z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A9578AD51F444AB79551247B96EAA33E</vt:lpwstr>
  </property>
</Properties>
</file>