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保德县人民政府</w:t>
      </w:r>
    </w:p>
    <w:p>
      <w:pPr>
        <w:ind w:firstLine="0" w:firstLineChars="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202</w:t>
      </w:r>
      <w:r>
        <w:rPr>
          <w:rFonts w:hint="eastAsia" w:ascii="方正小标宋简体" w:hAnsi="华文中宋" w:eastAsia="方正小标宋简体"/>
          <w:sz w:val="44"/>
          <w:szCs w:val="44"/>
          <w:lang w:val="en-US" w:eastAsia="zh-CN"/>
        </w:rPr>
        <w:t>4</w:t>
      </w:r>
      <w:r>
        <w:rPr>
          <w:rFonts w:hint="eastAsia" w:ascii="方正小标宋简体" w:hAnsi="华文中宋" w:eastAsia="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ascii="仿宋" w:hAnsi="仿宋" w:eastAsia="仿宋" w:cs="仿宋"/>
          <w:b/>
          <w:bCs/>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ascii="仿宋" w:hAnsi="仿宋" w:eastAsia="仿宋" w:cs="仿宋"/>
          <w:sz w:val="32"/>
          <w:szCs w:val="32"/>
        </w:rPr>
      </w:pPr>
      <w:r>
        <w:rPr>
          <w:rFonts w:hint="eastAsia" w:ascii="仿宋" w:hAnsi="仿宋" w:eastAsia="仿宋" w:cs="仿宋_GB2312"/>
          <w:sz w:val="32"/>
          <w:szCs w:val="32"/>
        </w:rPr>
        <w:t>本报告依据《中华人民共和国政府信息公开条例》</w:t>
      </w:r>
      <w:r>
        <w:rPr>
          <w:rFonts w:hint="eastAsia" w:ascii="仿宋" w:hAnsi="仿宋" w:eastAsia="仿宋" w:cs="仿宋_GB2312"/>
          <w:sz w:val="32"/>
          <w:szCs w:val="32"/>
          <w:lang w:eastAsia="zh-CN"/>
        </w:rPr>
        <w:t>规定和</w:t>
      </w:r>
      <w:r>
        <w:rPr>
          <w:rFonts w:hint="eastAsia" w:ascii="仿宋" w:hAnsi="仿宋" w:eastAsia="仿宋" w:cs="仿宋_GB2312"/>
          <w:sz w:val="32"/>
          <w:szCs w:val="32"/>
        </w:rPr>
        <w:t>国务院办公厅政府信息与政务公开办公室《关于印发&lt;中华人民共和国政府信息公开工作年度报告格式&gt;的通知》（国办公开办函〔2021〕30 号）和</w:t>
      </w:r>
      <w:r>
        <w:rPr>
          <w:rFonts w:hint="eastAsia" w:ascii="仿宋" w:hAnsi="仿宋" w:eastAsia="仿宋"/>
          <w:sz w:val="32"/>
          <w:szCs w:val="32"/>
        </w:rPr>
        <w:t>《忻州市人民政府办公室关于认真制发政府信息公开工作年报的督办通知》（忻政办发电〔2024〕2号）</w:t>
      </w:r>
      <w:r>
        <w:rPr>
          <w:rFonts w:hint="eastAsia" w:ascii="仿宋" w:hAnsi="仿宋" w:eastAsia="仿宋" w:cs="仿宋_GB2312"/>
          <w:sz w:val="32"/>
          <w:szCs w:val="32"/>
        </w:rPr>
        <w:t>要求编制</w:t>
      </w:r>
      <w:r>
        <w:rPr>
          <w:rFonts w:hint="eastAsia" w:ascii="仿宋" w:hAnsi="仿宋" w:eastAsia="仿宋" w:cs="仿宋_GB2312"/>
          <w:sz w:val="32"/>
          <w:szCs w:val="32"/>
          <w:lang w:eastAsia="zh-CN"/>
        </w:rPr>
        <w:t>。</w:t>
      </w:r>
      <w:r>
        <w:rPr>
          <w:rFonts w:hint="eastAsia" w:ascii="仿宋" w:hAnsi="仿宋" w:eastAsia="仿宋" w:cs="仿宋"/>
          <w:sz w:val="32"/>
          <w:szCs w:val="32"/>
        </w:rPr>
        <w:t>本报告由“总体情况”，“主动公开政府信息情况”，“收到和处理政府信息公开申请情况”，“政府信息公开行政复议、行政诉讼情况</w:t>
      </w:r>
      <w:r>
        <w:rPr>
          <w:rFonts w:ascii="仿宋" w:hAnsi="仿宋" w:eastAsia="仿宋" w:cs="仿宋"/>
          <w:sz w:val="32"/>
          <w:szCs w:val="32"/>
        </w:rPr>
        <w:t>”</w:t>
      </w:r>
      <w:r>
        <w:rPr>
          <w:rFonts w:hint="eastAsia" w:ascii="仿宋" w:hAnsi="仿宋" w:eastAsia="仿宋" w:cs="仿宋"/>
          <w:sz w:val="32"/>
          <w:szCs w:val="32"/>
        </w:rPr>
        <w:t>，“存在的主要问题及改进情况</w:t>
      </w:r>
      <w:r>
        <w:rPr>
          <w:rFonts w:ascii="仿宋" w:hAnsi="仿宋" w:eastAsia="仿宋" w:cs="仿宋"/>
          <w:sz w:val="32"/>
          <w:szCs w:val="32"/>
        </w:rPr>
        <w:t>”</w:t>
      </w:r>
      <w:r>
        <w:rPr>
          <w:rFonts w:hint="eastAsia" w:ascii="仿宋" w:hAnsi="仿宋" w:eastAsia="仿宋" w:cs="仿宋"/>
          <w:sz w:val="32"/>
          <w:szCs w:val="32"/>
        </w:rPr>
        <w:t>，“其他需要报告的事项</w:t>
      </w:r>
      <w:r>
        <w:rPr>
          <w:rFonts w:ascii="仿宋" w:hAnsi="仿宋" w:eastAsia="仿宋" w:cs="仿宋"/>
          <w:sz w:val="32"/>
          <w:szCs w:val="32"/>
        </w:rPr>
        <w:t>”</w:t>
      </w:r>
      <w:r>
        <w:rPr>
          <w:rFonts w:hint="eastAsia" w:ascii="仿宋" w:hAnsi="仿宋" w:eastAsia="仿宋" w:cs="仿宋"/>
          <w:sz w:val="32"/>
          <w:szCs w:val="32"/>
        </w:rPr>
        <w:t>等六部分组成。本报告中所列数据的统计期限自202</w:t>
      </w:r>
      <w:r>
        <w:rPr>
          <w:rFonts w:hint="eastAsia" w:ascii="仿宋" w:hAnsi="仿宋" w:eastAsia="仿宋" w:cs="仿宋"/>
          <w:sz w:val="32"/>
          <w:szCs w:val="32"/>
          <w:lang w:val="en-US" w:eastAsia="zh-CN"/>
        </w:rPr>
        <w:t>4</w:t>
      </w:r>
      <w:r>
        <w:rPr>
          <w:rFonts w:hint="eastAsia" w:ascii="仿宋" w:hAnsi="仿宋" w:eastAsia="仿宋" w:cs="仿宋"/>
          <w:sz w:val="32"/>
          <w:szCs w:val="32"/>
        </w:rPr>
        <w:t>年1月1日起，至202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年12月31日止。</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年，我县认真贯彻落实省、市各项决策部署和工作要求</w:t>
      </w:r>
      <w:r>
        <w:rPr>
          <w:rFonts w:hint="eastAsia" w:ascii="仿宋" w:hAnsi="仿宋" w:eastAsia="仿宋" w:cs="仿宋"/>
          <w:color w:val="auto"/>
          <w:sz w:val="32"/>
          <w:szCs w:val="32"/>
          <w:lang w:eastAsia="zh-CN"/>
        </w:rPr>
        <w:t>，以公开为常态、不公开为例外，加强政府网站、政务新媒体等平台建设和管理，不断拓宽公开领域，提升公开质效，促进信息公开更好地服务全县经济社会发展。</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二、主动公开政府信息情况</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全年县政府门户网站共计发布信息2</w:t>
      </w:r>
      <w:r>
        <w:rPr>
          <w:rFonts w:hint="eastAsia" w:ascii="仿宋" w:hAnsi="仿宋" w:eastAsia="仿宋"/>
          <w:sz w:val="32"/>
          <w:szCs w:val="32"/>
          <w:lang w:val="en-US" w:eastAsia="zh-CN"/>
        </w:rPr>
        <w:t>716</w:t>
      </w:r>
      <w:r>
        <w:rPr>
          <w:rFonts w:hint="eastAsia" w:ascii="仿宋" w:hAnsi="仿宋" w:eastAsia="仿宋"/>
          <w:sz w:val="32"/>
          <w:szCs w:val="32"/>
        </w:rPr>
        <w:t>条，其中</w:t>
      </w:r>
      <w:r>
        <w:rPr>
          <w:rFonts w:hint="eastAsia" w:ascii="仿宋" w:hAnsi="仿宋" w:eastAsia="仿宋"/>
          <w:sz w:val="32"/>
          <w:szCs w:val="32"/>
          <w:lang w:eastAsia="zh-CN"/>
        </w:rPr>
        <w:t>概况类信息</w:t>
      </w:r>
      <w:r>
        <w:rPr>
          <w:rFonts w:hint="eastAsia" w:ascii="仿宋" w:hAnsi="仿宋" w:eastAsia="仿宋"/>
          <w:sz w:val="32"/>
          <w:szCs w:val="32"/>
          <w:lang w:val="en-US" w:eastAsia="zh-CN"/>
        </w:rPr>
        <w:t>1533条</w:t>
      </w:r>
      <w:r>
        <w:rPr>
          <w:rFonts w:hint="eastAsia" w:ascii="仿宋" w:hAnsi="仿宋" w:eastAsia="仿宋"/>
          <w:sz w:val="32"/>
          <w:szCs w:val="32"/>
        </w:rPr>
        <w:t>，政务动态</w:t>
      </w:r>
      <w:r>
        <w:rPr>
          <w:rFonts w:hint="eastAsia" w:ascii="仿宋" w:hAnsi="仿宋" w:eastAsia="仿宋"/>
          <w:sz w:val="32"/>
          <w:szCs w:val="32"/>
          <w:lang w:val="en-US" w:eastAsia="zh-CN"/>
        </w:rPr>
        <w:t>183</w:t>
      </w:r>
      <w:r>
        <w:rPr>
          <w:rFonts w:hint="eastAsia" w:ascii="仿宋" w:hAnsi="仿宋" w:eastAsia="仿宋"/>
          <w:sz w:val="32"/>
          <w:szCs w:val="32"/>
        </w:rPr>
        <w:t>条、图片信息46条，信息公开栏目发布</w:t>
      </w:r>
      <w:r>
        <w:rPr>
          <w:rFonts w:hint="eastAsia" w:ascii="仿宋" w:hAnsi="仿宋" w:eastAsia="仿宋"/>
          <w:sz w:val="32"/>
          <w:szCs w:val="32"/>
          <w:lang w:val="en-US" w:eastAsia="zh-CN"/>
        </w:rPr>
        <w:t>1000</w:t>
      </w:r>
      <w:r>
        <w:rPr>
          <w:rFonts w:hint="eastAsia" w:ascii="仿宋" w:hAnsi="仿宋" w:eastAsia="仿宋"/>
          <w:sz w:val="32"/>
          <w:szCs w:val="32"/>
        </w:rPr>
        <w:t>条，政策解读</w:t>
      </w:r>
      <w:r>
        <w:rPr>
          <w:rFonts w:hint="eastAsia" w:ascii="仿宋" w:hAnsi="仿宋" w:eastAsia="仿宋"/>
          <w:sz w:val="32"/>
          <w:szCs w:val="32"/>
          <w:lang w:val="en-US" w:eastAsia="zh-CN"/>
        </w:rPr>
        <w:t>97</w:t>
      </w:r>
      <w:r>
        <w:rPr>
          <w:rFonts w:hint="eastAsia" w:ascii="仿宋" w:hAnsi="仿宋" w:eastAsia="仿宋"/>
          <w:sz w:val="32"/>
          <w:szCs w:val="32"/>
        </w:rPr>
        <w:t>条；办理“县长信箱”公众留言</w:t>
      </w:r>
      <w:r>
        <w:rPr>
          <w:rFonts w:hint="eastAsia" w:ascii="仿宋" w:hAnsi="仿宋" w:eastAsia="仿宋"/>
          <w:sz w:val="32"/>
          <w:szCs w:val="32"/>
          <w:lang w:val="en-US" w:eastAsia="zh-CN"/>
        </w:rPr>
        <w:t>89</w:t>
      </w:r>
      <w:r>
        <w:rPr>
          <w:rFonts w:hint="eastAsia" w:ascii="仿宋" w:hAnsi="仿宋" w:eastAsia="仿宋"/>
          <w:sz w:val="32"/>
          <w:szCs w:val="32"/>
        </w:rPr>
        <w:t>条，受理依申请公开</w:t>
      </w:r>
      <w:r>
        <w:rPr>
          <w:rFonts w:hint="eastAsia" w:ascii="仿宋" w:hAnsi="仿宋" w:eastAsia="仿宋"/>
          <w:color w:val="auto"/>
          <w:sz w:val="32"/>
          <w:szCs w:val="32"/>
          <w:lang w:val="en-US" w:eastAsia="zh-CN"/>
        </w:rPr>
        <w:t>4</w:t>
      </w:r>
      <w:r>
        <w:rPr>
          <w:rFonts w:hint="eastAsia" w:ascii="仿宋" w:hAnsi="仿宋" w:eastAsia="仿宋"/>
          <w:sz w:val="32"/>
          <w:szCs w:val="32"/>
        </w:rPr>
        <w:t>件，均</w:t>
      </w:r>
      <w:r>
        <w:rPr>
          <w:rFonts w:hint="eastAsia" w:ascii="仿宋" w:hAnsi="仿宋" w:eastAsia="仿宋"/>
          <w:sz w:val="32"/>
          <w:szCs w:val="32"/>
          <w:lang w:eastAsia="zh-CN"/>
        </w:rPr>
        <w:t>已</w:t>
      </w:r>
      <w:r>
        <w:rPr>
          <w:rFonts w:hint="eastAsia" w:ascii="仿宋" w:hAnsi="仿宋" w:eastAsia="仿宋"/>
          <w:sz w:val="32"/>
          <w:szCs w:val="32"/>
        </w:rPr>
        <w:t>办结。县政府系统政务新媒体新浪微博“保德发布”共发布信息7</w:t>
      </w:r>
      <w:r>
        <w:rPr>
          <w:rFonts w:hint="eastAsia" w:ascii="仿宋" w:hAnsi="仿宋" w:eastAsia="仿宋"/>
          <w:sz w:val="32"/>
          <w:szCs w:val="32"/>
          <w:lang w:val="en-US" w:eastAsia="zh-CN"/>
        </w:rPr>
        <w:t>22</w:t>
      </w:r>
      <w:r>
        <w:rPr>
          <w:rFonts w:hint="eastAsia" w:ascii="仿宋" w:hAnsi="仿宋" w:eastAsia="仿宋"/>
          <w:sz w:val="32"/>
          <w:szCs w:val="32"/>
        </w:rPr>
        <w:t>条、微信公众号“保德交警”共发布信息</w:t>
      </w:r>
      <w:r>
        <w:rPr>
          <w:rFonts w:hint="eastAsia" w:ascii="仿宋" w:hAnsi="仿宋" w:eastAsia="仿宋"/>
          <w:color w:val="auto"/>
          <w:sz w:val="32"/>
          <w:szCs w:val="32"/>
        </w:rPr>
        <w:t>598</w:t>
      </w:r>
      <w:r>
        <w:rPr>
          <w:rFonts w:hint="eastAsia" w:ascii="仿宋" w:hAnsi="仿宋" w:eastAsia="仿宋"/>
          <w:sz w:val="32"/>
          <w:szCs w:val="32"/>
        </w:rPr>
        <w:t>条</w:t>
      </w:r>
      <w:r>
        <w:rPr>
          <w:rFonts w:hint="eastAsia" w:ascii="仿宋" w:hAnsi="仿宋" w:eastAsia="仿宋"/>
          <w:sz w:val="32"/>
          <w:szCs w:val="32"/>
          <w:lang w:eastAsia="zh-CN"/>
        </w:rPr>
        <w:t>，“保德县产业集聚区发展中心”共发布信息</w:t>
      </w:r>
      <w:r>
        <w:rPr>
          <w:rFonts w:hint="eastAsia" w:ascii="仿宋" w:hAnsi="仿宋" w:eastAsia="仿宋"/>
          <w:sz w:val="32"/>
          <w:szCs w:val="32"/>
          <w:lang w:val="en-US" w:eastAsia="zh-CN"/>
        </w:rPr>
        <w:t>630条</w:t>
      </w:r>
      <w:r>
        <w:rPr>
          <w:rFonts w:hint="eastAsia" w:ascii="仿宋" w:hAnsi="仿宋" w:eastAsia="仿宋"/>
          <w:sz w:val="32"/>
          <w:szCs w:val="32"/>
          <w:lang w:eastAsia="zh-CN"/>
        </w:rPr>
        <w:t>。</w:t>
      </w:r>
      <w:r>
        <w:rPr>
          <w:rFonts w:hint="eastAsia" w:ascii="仿宋" w:hAnsi="仿宋" w:eastAsia="仿宋"/>
          <w:sz w:val="32"/>
          <w:szCs w:val="32"/>
        </w:rPr>
        <w:t>收到“市长信箱”</w:t>
      </w:r>
      <w:r>
        <w:rPr>
          <w:rFonts w:hint="eastAsia" w:ascii="仿宋" w:hAnsi="仿宋" w:eastAsia="仿宋"/>
          <w:color w:val="auto"/>
          <w:sz w:val="32"/>
          <w:szCs w:val="32"/>
          <w:lang w:val="en-US" w:eastAsia="zh-CN"/>
        </w:rPr>
        <w:t>21</w:t>
      </w:r>
      <w:r>
        <w:rPr>
          <w:rFonts w:hint="eastAsia" w:ascii="仿宋" w:hAnsi="仿宋" w:eastAsia="仿宋"/>
          <w:sz w:val="32"/>
          <w:szCs w:val="32"/>
        </w:rPr>
        <w:t>件，办结率100%</w:t>
      </w:r>
      <w:r>
        <w:rPr>
          <w:rFonts w:hint="eastAsia" w:ascii="仿宋" w:hAnsi="仿宋" w:eastAsia="仿宋"/>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12345政务服务便民热线受理群众和企业反映的各类诉求共计4495件。</w:t>
      </w:r>
    </w:p>
    <w:tbl>
      <w:tblPr>
        <w:tblStyle w:val="5"/>
        <w:tblW w:w="8886" w:type="dxa"/>
        <w:jc w:val="center"/>
        <w:tblInd w:w="0" w:type="dxa"/>
        <w:tblLayout w:type="fixed"/>
        <w:tblCellMar>
          <w:top w:w="0" w:type="dxa"/>
          <w:left w:w="0" w:type="dxa"/>
          <w:bottom w:w="0" w:type="dxa"/>
          <w:right w:w="0" w:type="dxa"/>
        </w:tblCellMar>
      </w:tblPr>
      <w:tblGrid>
        <w:gridCol w:w="1803"/>
        <w:gridCol w:w="2435"/>
        <w:gridCol w:w="2435"/>
        <w:gridCol w:w="2213"/>
      </w:tblGrid>
      <w:tr>
        <w:tblPrEx>
          <w:tblLayout w:type="fixed"/>
          <w:tblCellMar>
            <w:top w:w="0" w:type="dxa"/>
            <w:left w:w="0" w:type="dxa"/>
            <w:bottom w:w="0" w:type="dxa"/>
            <w:right w:w="0" w:type="dxa"/>
          </w:tblCellMar>
        </w:tblPrEx>
        <w:trPr>
          <w:trHeight w:val="340" w:hRule="atLeast"/>
          <w:jc w:val="center"/>
        </w:trPr>
        <w:tc>
          <w:tcPr>
            <w:tcW w:w="8886"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18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本年</w:t>
            </w:r>
            <w:r>
              <w:rPr>
                <w:rFonts w:hint="eastAsia" w:ascii="宋体" w:hAnsi="宋体" w:eastAsia="宋体" w:cs="宋体"/>
                <w:color w:val="333333"/>
                <w:kern w:val="0"/>
                <w:sz w:val="20"/>
                <w:szCs w:val="20"/>
                <w:lang w:bidi="ar"/>
              </w:rPr>
              <w:t>制发件数</w:t>
            </w:r>
          </w:p>
        </w:tc>
        <w:tc>
          <w:tcPr>
            <w:tcW w:w="243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本年废止件数</w:t>
            </w:r>
          </w:p>
        </w:tc>
        <w:tc>
          <w:tcPr>
            <w:tcW w:w="221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现行有效件</w:t>
            </w:r>
            <w:r>
              <w:rPr>
                <w:rFonts w:hint="eastAsia" w:ascii="宋体" w:hAnsi="宋体" w:eastAsia="宋体" w:cs="宋体"/>
                <w:color w:val="333333"/>
                <w:kern w:val="0"/>
                <w:sz w:val="20"/>
                <w:szCs w:val="20"/>
                <w:lang w:bidi="ar"/>
              </w:rPr>
              <w:t>数</w:t>
            </w:r>
          </w:p>
        </w:tc>
      </w:tr>
      <w:tr>
        <w:tblPrEx>
          <w:tblLayout w:type="fixed"/>
          <w:tblCellMar>
            <w:top w:w="0" w:type="dxa"/>
            <w:left w:w="0" w:type="dxa"/>
            <w:bottom w:w="0" w:type="dxa"/>
            <w:right w:w="0" w:type="dxa"/>
          </w:tblCellMar>
        </w:tblPrEx>
        <w:trPr>
          <w:trHeight w:val="340" w:hRule="atLeast"/>
          <w:jc w:val="center"/>
        </w:trPr>
        <w:tc>
          <w:tcPr>
            <w:tcW w:w="18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00"/>
              <w:jc w:val="left"/>
            </w:pPr>
            <w:r>
              <w:rPr>
                <w:rFonts w:hint="eastAsia" w:ascii="宋体" w:hAnsi="宋体" w:eastAsia="宋体" w:cs="宋体"/>
                <w:color w:val="000000"/>
                <w:kern w:val="0"/>
                <w:sz w:val="20"/>
                <w:szCs w:val="20"/>
                <w:lang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0</w:t>
            </w:r>
          </w:p>
        </w:tc>
        <w:tc>
          <w:tcPr>
            <w:tcW w:w="221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10"/>
              <w:jc w:val="center"/>
            </w:pPr>
            <w:r>
              <w:rPr>
                <w:rFonts w:hint="eastAsia" w:ascii="Calibri" w:hAnsi="Calibri" w:eastAsia="宋体" w:cs="Calibri"/>
                <w:color w:val="333333"/>
                <w:szCs w:val="21"/>
                <w:lang w:bidi="ar"/>
              </w:rPr>
              <w:t>0</w:t>
            </w:r>
          </w:p>
        </w:tc>
      </w:tr>
      <w:tr>
        <w:tblPrEx>
          <w:tblLayout w:type="fixed"/>
          <w:tblCellMar>
            <w:top w:w="0" w:type="dxa"/>
            <w:left w:w="0" w:type="dxa"/>
            <w:bottom w:w="0" w:type="dxa"/>
            <w:right w:w="0" w:type="dxa"/>
          </w:tblCellMar>
        </w:tblPrEx>
        <w:trPr>
          <w:trHeight w:val="340" w:hRule="atLeast"/>
          <w:jc w:val="center"/>
        </w:trPr>
        <w:tc>
          <w:tcPr>
            <w:tcW w:w="18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00"/>
              <w:jc w:val="left"/>
            </w:pPr>
            <w:r>
              <w:rPr>
                <w:rFonts w:hint="eastAsia" w:ascii="宋体" w:hAnsi="宋体" w:eastAsia="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0</w:t>
            </w:r>
          </w:p>
        </w:tc>
        <w:tc>
          <w:tcPr>
            <w:tcW w:w="221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10"/>
              <w:jc w:val="center"/>
            </w:pPr>
            <w:r>
              <w:rPr>
                <w:rFonts w:hint="eastAsia" w:ascii="Calibri" w:hAnsi="Calibri" w:eastAsia="宋体" w:cs="Calibri"/>
                <w:color w:val="333333"/>
                <w:szCs w:val="21"/>
                <w:lang w:bidi="ar"/>
              </w:rPr>
              <w:t>0</w:t>
            </w:r>
          </w:p>
        </w:tc>
      </w:tr>
      <w:tr>
        <w:tblPrEx>
          <w:tblLayout w:type="fixed"/>
          <w:tblCellMar>
            <w:top w:w="0" w:type="dxa"/>
            <w:left w:w="0" w:type="dxa"/>
            <w:bottom w:w="0" w:type="dxa"/>
            <w:right w:w="0" w:type="dxa"/>
          </w:tblCellMar>
        </w:tblPrEx>
        <w:trPr>
          <w:trHeight w:val="340" w:hRule="atLeast"/>
          <w:jc w:val="center"/>
        </w:trPr>
        <w:tc>
          <w:tcPr>
            <w:tcW w:w="8886"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1803"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信息内容</w:t>
            </w:r>
          </w:p>
        </w:tc>
        <w:tc>
          <w:tcPr>
            <w:tcW w:w="7083"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1803"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30" w:lineRule="atLeast"/>
              <w:ind w:firstLine="200"/>
              <w:jc w:val="left"/>
            </w:pPr>
            <w:r>
              <w:rPr>
                <w:rFonts w:hint="eastAsia" w:ascii="宋体" w:hAnsi="宋体" w:eastAsia="宋体" w:cs="宋体"/>
                <w:color w:val="000000"/>
                <w:kern w:val="0"/>
                <w:sz w:val="20"/>
                <w:szCs w:val="20"/>
                <w:lang w:bidi="ar"/>
              </w:rPr>
              <w:t>行政许可</w:t>
            </w:r>
          </w:p>
        </w:tc>
        <w:tc>
          <w:tcPr>
            <w:tcW w:w="7083"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10"/>
              <w:jc w:val="center"/>
            </w:pPr>
            <w:r>
              <w:rPr>
                <w:rFonts w:hint="eastAsia" w:ascii="Calibri" w:hAnsi="Calibri" w:eastAsia="宋体" w:cs="Calibri"/>
                <w:color w:val="333333"/>
                <w:szCs w:val="21"/>
                <w:lang w:bidi="ar"/>
              </w:rPr>
              <w:t>0</w:t>
            </w:r>
          </w:p>
        </w:tc>
      </w:tr>
      <w:tr>
        <w:tblPrEx>
          <w:tblLayout w:type="fixed"/>
          <w:tblCellMar>
            <w:top w:w="0" w:type="dxa"/>
            <w:left w:w="0" w:type="dxa"/>
            <w:bottom w:w="0" w:type="dxa"/>
            <w:right w:w="0" w:type="dxa"/>
          </w:tblCellMar>
        </w:tblPrEx>
        <w:trPr>
          <w:trHeight w:val="340" w:hRule="atLeast"/>
          <w:jc w:val="center"/>
        </w:trPr>
        <w:tc>
          <w:tcPr>
            <w:tcW w:w="8886"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18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0" w:firstLineChars="0"/>
              <w:jc w:val="center"/>
            </w:pPr>
            <w:r>
              <w:rPr>
                <w:rFonts w:hint="eastAsia" w:ascii="宋体" w:hAnsi="宋体" w:eastAsia="宋体" w:cs="宋体"/>
                <w:color w:val="000000"/>
                <w:kern w:val="0"/>
                <w:sz w:val="20"/>
                <w:szCs w:val="20"/>
                <w:lang w:bidi="ar"/>
              </w:rPr>
              <w:t>信息内容</w:t>
            </w:r>
          </w:p>
        </w:tc>
        <w:tc>
          <w:tcPr>
            <w:tcW w:w="7083"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0" w:firstLineChars="0"/>
              <w:jc w:val="center"/>
            </w:pPr>
            <w:r>
              <w:rPr>
                <w:rFonts w:hint="eastAsia" w:ascii="宋体" w:hAnsi="宋体" w:eastAsia="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18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00"/>
              <w:jc w:val="left"/>
            </w:pPr>
            <w:r>
              <w:rPr>
                <w:rFonts w:hint="eastAsia" w:ascii="宋体" w:hAnsi="宋体" w:eastAsia="宋体" w:cs="宋体"/>
                <w:color w:val="000000"/>
                <w:kern w:val="0"/>
                <w:sz w:val="20"/>
                <w:szCs w:val="20"/>
                <w:lang w:bidi="ar"/>
              </w:rPr>
              <w:t>行政处罚</w:t>
            </w:r>
          </w:p>
        </w:tc>
        <w:tc>
          <w:tcPr>
            <w:tcW w:w="7083"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10"/>
              <w:jc w:val="center"/>
            </w:pPr>
            <w:r>
              <w:rPr>
                <w:rFonts w:hint="eastAsia"/>
              </w:rPr>
              <w:t>0</w:t>
            </w:r>
          </w:p>
        </w:tc>
      </w:tr>
      <w:tr>
        <w:tblPrEx>
          <w:tblLayout w:type="fixed"/>
          <w:tblCellMar>
            <w:top w:w="0" w:type="dxa"/>
            <w:left w:w="0" w:type="dxa"/>
            <w:bottom w:w="0" w:type="dxa"/>
            <w:right w:w="0" w:type="dxa"/>
          </w:tblCellMar>
        </w:tblPrEx>
        <w:trPr>
          <w:trHeight w:val="340" w:hRule="atLeast"/>
          <w:jc w:val="center"/>
        </w:trPr>
        <w:tc>
          <w:tcPr>
            <w:tcW w:w="18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00"/>
              <w:jc w:val="left"/>
            </w:pPr>
            <w:r>
              <w:rPr>
                <w:rFonts w:hint="eastAsia" w:ascii="宋体" w:hAnsi="宋体" w:eastAsia="宋体" w:cs="宋体"/>
                <w:color w:val="000000"/>
                <w:kern w:val="0"/>
                <w:sz w:val="20"/>
                <w:szCs w:val="20"/>
                <w:lang w:bidi="ar"/>
              </w:rPr>
              <w:t>行政强制</w:t>
            </w:r>
          </w:p>
        </w:tc>
        <w:tc>
          <w:tcPr>
            <w:tcW w:w="7083"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10"/>
              <w:jc w:val="center"/>
            </w:pPr>
            <w:r>
              <w:rPr>
                <w:rFonts w:hint="eastAsia"/>
              </w:rPr>
              <w:t>0</w:t>
            </w:r>
          </w:p>
        </w:tc>
      </w:tr>
      <w:tr>
        <w:tblPrEx>
          <w:tblLayout w:type="fixed"/>
          <w:tblCellMar>
            <w:top w:w="0" w:type="dxa"/>
            <w:left w:w="0" w:type="dxa"/>
            <w:bottom w:w="0" w:type="dxa"/>
            <w:right w:w="0" w:type="dxa"/>
          </w:tblCellMar>
        </w:tblPrEx>
        <w:trPr>
          <w:trHeight w:val="340" w:hRule="atLeast"/>
          <w:jc w:val="center"/>
        </w:trPr>
        <w:tc>
          <w:tcPr>
            <w:tcW w:w="8886"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18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信息内容</w:t>
            </w:r>
          </w:p>
        </w:tc>
        <w:tc>
          <w:tcPr>
            <w:tcW w:w="7083"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30" w:lineRule="atLeast"/>
              <w:ind w:firstLine="200"/>
              <w:jc w:val="center"/>
            </w:pPr>
            <w:r>
              <w:rPr>
                <w:rFonts w:hint="eastAsia" w:ascii="宋体" w:hAnsi="宋体" w:eastAsia="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180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ind w:firstLine="200"/>
              <w:jc w:val="left"/>
            </w:pPr>
            <w:r>
              <w:rPr>
                <w:rFonts w:hint="eastAsia" w:ascii="宋体" w:hAnsi="宋体" w:eastAsia="宋体" w:cs="宋体"/>
                <w:color w:val="000000"/>
                <w:kern w:val="0"/>
                <w:sz w:val="20"/>
                <w:szCs w:val="20"/>
                <w:lang w:bidi="ar"/>
              </w:rPr>
              <w:t>行政事业性收费</w:t>
            </w:r>
          </w:p>
        </w:tc>
        <w:tc>
          <w:tcPr>
            <w:tcW w:w="7083"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ind w:firstLine="210"/>
              <w:jc w:val="center"/>
              <w:rPr>
                <w:rFonts w:ascii="宋体" w:hAnsi="宋体" w:eastAsia="宋体" w:cs="宋体"/>
                <w:color w:val="333333"/>
                <w:szCs w:val="21"/>
              </w:rPr>
            </w:pPr>
            <w:r>
              <w:rPr>
                <w:rFonts w:hint="eastAsia" w:ascii="宋体" w:hAnsi="宋体" w:eastAsia="宋体" w:cs="宋体"/>
                <w:color w:val="333333"/>
                <w:szCs w:val="21"/>
              </w:rPr>
              <w:t>0</w:t>
            </w:r>
          </w:p>
        </w:tc>
      </w:tr>
    </w:tbl>
    <w:p>
      <w:pPr>
        <w:adjustRightInd w:val="0"/>
        <w:snapToGrid w:val="0"/>
        <w:spacing w:line="360" w:lineRule="auto"/>
        <w:ind w:firstLine="640" w:firstLineChars="200"/>
        <w:rPr>
          <w:rFonts w:ascii="仿宋" w:hAnsi="仿宋" w:eastAsia="仿宋"/>
          <w:sz w:val="32"/>
          <w:szCs w:val="32"/>
        </w:rPr>
      </w:pPr>
    </w:p>
    <w:p>
      <w:pPr>
        <w:adjustRightInd w:val="0"/>
        <w:snapToGrid w:val="0"/>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p>
      <w:pPr>
        <w:adjustRightInd w:val="0"/>
        <w:snapToGrid w:val="0"/>
        <w:spacing w:line="57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年，我县共收到要求公开政府信息的申请</w:t>
      </w:r>
      <w:r>
        <w:rPr>
          <w:rFonts w:hint="eastAsia" w:ascii="仿宋" w:hAnsi="仿宋" w:eastAsia="仿宋"/>
          <w:color w:val="auto"/>
          <w:sz w:val="32"/>
          <w:szCs w:val="32"/>
        </w:rPr>
        <w:t>4</w:t>
      </w:r>
      <w:r>
        <w:rPr>
          <w:rFonts w:hint="eastAsia" w:ascii="仿宋" w:hAnsi="仿宋" w:eastAsia="仿宋"/>
          <w:sz w:val="32"/>
          <w:szCs w:val="32"/>
        </w:rPr>
        <w:t>件，均</w:t>
      </w:r>
      <w:r>
        <w:rPr>
          <w:rFonts w:hint="eastAsia" w:ascii="仿宋" w:hAnsi="仿宋" w:eastAsia="仿宋"/>
          <w:sz w:val="32"/>
          <w:szCs w:val="32"/>
          <w:lang w:eastAsia="zh-CN"/>
        </w:rPr>
        <w:t>已</w:t>
      </w:r>
      <w:r>
        <w:rPr>
          <w:rFonts w:hint="eastAsia" w:ascii="仿宋" w:hAnsi="仿宋" w:eastAsia="仿宋"/>
          <w:sz w:val="32"/>
          <w:szCs w:val="32"/>
        </w:rPr>
        <w:t>办结。</w:t>
      </w:r>
    </w:p>
    <w:tbl>
      <w:tblPr>
        <w:tblStyle w:val="5"/>
        <w:tblW w:w="9005"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
      <w:tblGrid>
        <w:gridCol w:w="293"/>
        <w:gridCol w:w="921"/>
        <w:gridCol w:w="3271"/>
        <w:gridCol w:w="423"/>
        <w:gridCol w:w="600"/>
        <w:gridCol w:w="660"/>
        <w:gridCol w:w="960"/>
        <w:gridCol w:w="990"/>
        <w:gridCol w:w="375"/>
        <w:gridCol w:w="5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485"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widowControl/>
              <w:spacing w:line="30" w:lineRule="atLeast"/>
              <w:ind w:firstLine="200"/>
              <w:jc w:val="left"/>
            </w:pPr>
            <w:r>
              <w:rPr>
                <w:rFonts w:ascii="楷体" w:hAnsi="楷体" w:eastAsia="楷体" w:cs="楷体"/>
                <w:color w:val="333333"/>
                <w:kern w:val="0"/>
                <w:sz w:val="20"/>
                <w:szCs w:val="20"/>
                <w:lang w:bidi="ar"/>
              </w:rPr>
              <w:t>（本列数据的勾稽关系为：第一项加第二项之和，等于第三项加第四项之和）</w:t>
            </w:r>
          </w:p>
        </w:tc>
        <w:tc>
          <w:tcPr>
            <w:tcW w:w="4520" w:type="dxa"/>
            <w:gridSpan w:val="7"/>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ind w:firstLine="200"/>
              <w:jc w:val="center"/>
            </w:pPr>
            <w:r>
              <w:rPr>
                <w:rFonts w:hint="eastAsia" w:ascii="宋体" w:hAnsi="宋体" w:eastAsia="宋体" w:cs="宋体"/>
                <w:color w:val="333333"/>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485"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ind w:firstLine="210"/>
              <w:jc w:val="left"/>
              <w:rPr>
                <w:rFonts w:ascii="宋体" w:hAnsi="宋体" w:eastAsia="宋体" w:cs="宋体"/>
                <w:color w:val="333333"/>
                <w:szCs w:val="21"/>
              </w:rPr>
            </w:pPr>
          </w:p>
        </w:tc>
        <w:tc>
          <w:tcPr>
            <w:tcW w:w="423" w:type="dxa"/>
            <w:vMerge w:val="restart"/>
            <w:tcBorders>
              <w:top w:val="nil"/>
              <w:left w:val="nil"/>
              <w:bottom w:val="single" w:color="auto" w:sz="8" w:space="0"/>
              <w:right w:val="single" w:color="auto" w:sz="8" w:space="0"/>
            </w:tcBorders>
            <w:shd w:val="clear" w:color="auto" w:fill="auto"/>
            <w:vAlign w:val="center"/>
          </w:tcPr>
          <w:p>
            <w:pPr>
              <w:widowControl/>
              <w:spacing w:line="30" w:lineRule="atLeast"/>
              <w:ind w:firstLine="0" w:firstLineChars="0"/>
              <w:jc w:val="center"/>
            </w:pPr>
            <w:r>
              <w:rPr>
                <w:rFonts w:hint="eastAsia" w:ascii="宋体" w:hAnsi="宋体" w:eastAsia="宋体" w:cs="宋体"/>
                <w:color w:val="333333"/>
                <w:kern w:val="0"/>
                <w:sz w:val="20"/>
                <w:szCs w:val="20"/>
                <w:lang w:bidi="ar"/>
              </w:rPr>
              <w:t>自然人</w:t>
            </w:r>
          </w:p>
        </w:tc>
        <w:tc>
          <w:tcPr>
            <w:tcW w:w="3585" w:type="dxa"/>
            <w:gridSpan w:val="5"/>
            <w:tcBorders>
              <w:top w:val="single" w:color="auto" w:sz="8" w:space="0"/>
              <w:left w:val="nil"/>
              <w:bottom w:val="single" w:color="auto" w:sz="8" w:space="0"/>
              <w:right w:val="single" w:color="auto" w:sz="8" w:space="0"/>
            </w:tcBorders>
            <w:shd w:val="clear" w:color="auto" w:fill="auto"/>
            <w:vAlign w:val="center"/>
          </w:tcPr>
          <w:p>
            <w:pPr>
              <w:widowControl/>
              <w:spacing w:line="30" w:lineRule="atLeast"/>
              <w:ind w:firstLine="200"/>
              <w:jc w:val="center"/>
            </w:pPr>
            <w:r>
              <w:rPr>
                <w:rFonts w:hint="eastAsia" w:ascii="宋体" w:hAnsi="宋体" w:eastAsia="宋体" w:cs="宋体"/>
                <w:color w:val="333333"/>
                <w:kern w:val="0"/>
                <w:sz w:val="20"/>
                <w:szCs w:val="20"/>
                <w:lang w:bidi="ar"/>
              </w:rPr>
              <w:t>法人或其他组织</w:t>
            </w:r>
          </w:p>
        </w:tc>
        <w:tc>
          <w:tcPr>
            <w:tcW w:w="512" w:type="dxa"/>
            <w:vMerge w:val="restart"/>
            <w:tcBorders>
              <w:top w:val="single" w:color="auto" w:sz="8" w:space="0"/>
              <w:left w:val="nil"/>
              <w:bottom w:val="outset" w:color="auto" w:sz="6" w:space="0"/>
              <w:right w:val="single" w:color="auto" w:sz="8" w:space="0"/>
            </w:tcBorders>
            <w:shd w:val="clear" w:color="auto" w:fill="auto"/>
            <w:vAlign w:val="center"/>
          </w:tcPr>
          <w:p>
            <w:pPr>
              <w:widowControl/>
              <w:spacing w:line="30" w:lineRule="atLeast"/>
              <w:ind w:firstLine="0" w:firstLineChars="0"/>
              <w:jc w:val="center"/>
            </w:pPr>
            <w:r>
              <w:rPr>
                <w:rFonts w:hint="eastAsia" w:ascii="宋体" w:hAnsi="宋体" w:eastAsia="宋体" w:cs="宋体"/>
                <w:color w:val="333333"/>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485"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ind w:firstLine="210"/>
              <w:jc w:val="left"/>
              <w:rPr>
                <w:rFonts w:ascii="宋体" w:hAnsi="宋体" w:eastAsia="宋体" w:cs="宋体"/>
                <w:color w:val="333333"/>
                <w:szCs w:val="21"/>
              </w:rPr>
            </w:pPr>
          </w:p>
        </w:tc>
        <w:tc>
          <w:tcPr>
            <w:tcW w:w="423" w:type="dxa"/>
            <w:vMerge w:val="continue"/>
            <w:tcBorders>
              <w:top w:val="nil"/>
              <w:left w:val="nil"/>
              <w:bottom w:val="single" w:color="auto" w:sz="8" w:space="0"/>
              <w:right w:val="single" w:color="auto" w:sz="8" w:space="0"/>
            </w:tcBorders>
            <w:shd w:val="clear" w:color="auto" w:fill="auto"/>
            <w:vAlign w:val="center"/>
          </w:tcPr>
          <w:p>
            <w:pPr>
              <w:ind w:firstLine="210"/>
              <w:jc w:val="center"/>
              <w:rPr>
                <w:rFonts w:ascii="宋体" w:hAnsi="宋体" w:eastAsia="宋体" w:cs="宋体"/>
                <w:color w:val="333333"/>
                <w:szCs w:val="21"/>
              </w:rPr>
            </w:pP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宋体" w:hAnsi="宋体" w:eastAsia="宋体" w:cs="宋体"/>
                <w:color w:val="333333"/>
                <w:kern w:val="0"/>
                <w:sz w:val="20"/>
                <w:szCs w:val="20"/>
                <w:lang w:bidi="ar"/>
              </w:rPr>
              <w:t>商业</w:t>
            </w:r>
          </w:p>
          <w:p>
            <w:pPr>
              <w:widowControl/>
              <w:adjustRightInd w:val="0"/>
              <w:snapToGrid w:val="0"/>
              <w:ind w:firstLine="0" w:firstLineChars="0"/>
              <w:jc w:val="center"/>
            </w:pPr>
            <w:r>
              <w:rPr>
                <w:rFonts w:hint="eastAsia" w:ascii="宋体" w:hAnsi="宋体" w:eastAsia="宋体" w:cs="宋体"/>
                <w:color w:val="333333"/>
                <w:kern w:val="0"/>
                <w:sz w:val="20"/>
                <w:szCs w:val="20"/>
                <w:lang w:bidi="ar"/>
              </w:rPr>
              <w:t>企业</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宋体" w:hAnsi="宋体" w:eastAsia="宋体" w:cs="宋体"/>
                <w:color w:val="333333"/>
                <w:kern w:val="0"/>
                <w:sz w:val="20"/>
                <w:szCs w:val="20"/>
                <w:lang w:bidi="ar"/>
              </w:rPr>
              <w:t>科研</w:t>
            </w:r>
          </w:p>
          <w:p>
            <w:pPr>
              <w:widowControl/>
              <w:adjustRightInd w:val="0"/>
              <w:snapToGrid w:val="0"/>
              <w:ind w:firstLine="0" w:firstLineChars="0"/>
              <w:jc w:val="center"/>
            </w:pPr>
            <w:r>
              <w:rPr>
                <w:rFonts w:hint="eastAsia" w:ascii="宋体" w:hAnsi="宋体" w:eastAsia="宋体" w:cs="宋体"/>
                <w:color w:val="333333"/>
                <w:kern w:val="0"/>
                <w:sz w:val="20"/>
                <w:szCs w:val="20"/>
                <w:lang w:bidi="ar"/>
              </w:rPr>
              <w:t>机构</w:t>
            </w:r>
          </w:p>
        </w:tc>
        <w:tc>
          <w:tcPr>
            <w:tcW w:w="960"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宋体" w:hAnsi="宋体" w:eastAsia="宋体" w:cs="宋体"/>
                <w:color w:val="333333"/>
                <w:kern w:val="0"/>
                <w:sz w:val="20"/>
                <w:szCs w:val="20"/>
                <w:lang w:bidi="ar"/>
              </w:rPr>
              <w:t>社会公益组织</w:t>
            </w:r>
          </w:p>
        </w:tc>
        <w:tc>
          <w:tcPr>
            <w:tcW w:w="990"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宋体" w:hAnsi="宋体" w:eastAsia="宋体" w:cs="宋体"/>
                <w:color w:val="333333"/>
                <w:kern w:val="0"/>
                <w:sz w:val="20"/>
                <w:szCs w:val="20"/>
                <w:lang w:bidi="ar"/>
              </w:rPr>
              <w:t>法律服务机构</w:t>
            </w:r>
          </w:p>
        </w:tc>
        <w:tc>
          <w:tcPr>
            <w:tcW w:w="375"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宋体" w:hAnsi="宋体" w:eastAsia="宋体" w:cs="宋体"/>
                <w:color w:val="333333"/>
                <w:kern w:val="0"/>
                <w:sz w:val="20"/>
                <w:szCs w:val="20"/>
                <w:lang w:bidi="ar"/>
              </w:rPr>
              <w:t>其他</w:t>
            </w:r>
          </w:p>
        </w:tc>
        <w:tc>
          <w:tcPr>
            <w:tcW w:w="512" w:type="dxa"/>
            <w:vMerge w:val="continue"/>
            <w:tcBorders>
              <w:top w:val="single" w:color="auto" w:sz="8" w:space="0"/>
              <w:left w:val="nil"/>
              <w:bottom w:val="outset" w:color="auto" w:sz="6" w:space="0"/>
              <w:right w:val="single" w:color="auto" w:sz="8" w:space="0"/>
            </w:tcBorders>
            <w:shd w:val="clear" w:color="auto" w:fill="auto"/>
            <w:vAlign w:val="center"/>
          </w:tcPr>
          <w:p>
            <w:pPr>
              <w:ind w:firstLine="210"/>
              <w:jc w:val="center"/>
              <w:rPr>
                <w:rFonts w:ascii="宋体" w:hAnsi="宋体" w:eastAsia="宋体" w:cs="宋体"/>
                <w:color w:val="333333"/>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485" w:type="dxa"/>
            <w:gridSpan w:val="3"/>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ind w:firstLine="200"/>
              <w:jc w:val="left"/>
            </w:pPr>
            <w:r>
              <w:rPr>
                <w:rFonts w:hint="eastAsia" w:ascii="宋体" w:hAnsi="宋体" w:eastAsia="宋体" w:cs="宋体"/>
                <w:color w:val="333333"/>
                <w:kern w:val="0"/>
                <w:sz w:val="20"/>
                <w:szCs w:val="20"/>
                <w:lang w:bidi="ar"/>
              </w:rPr>
              <w:t>一、本年新收政府信息公开申请数量</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auto"/>
                <w:kern w:val="0"/>
                <w:sz w:val="20"/>
                <w:szCs w:val="20"/>
                <w:lang w:bidi="ar"/>
              </w:rPr>
              <w:t>4</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auto"/>
                <w:kern w:val="0"/>
                <w:sz w:val="20"/>
                <w:szCs w:val="20"/>
                <w:lang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485" w:type="dxa"/>
            <w:gridSpan w:val="3"/>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ind w:firstLine="200"/>
              <w:jc w:val="left"/>
            </w:pPr>
            <w:r>
              <w:rPr>
                <w:rFonts w:hint="eastAsia" w:ascii="宋体" w:hAnsi="宋体" w:eastAsia="宋体" w:cs="宋体"/>
                <w:color w:val="333333"/>
                <w:kern w:val="0"/>
                <w:sz w:val="20"/>
                <w:szCs w:val="20"/>
                <w:lang w:bidi="ar"/>
              </w:rPr>
              <w:t>二、上年结转政府信息公开申请数量</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restart"/>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00"/>
              <w:jc w:val="left"/>
            </w:pPr>
            <w:r>
              <w:rPr>
                <w:rFonts w:hint="eastAsia" w:ascii="宋体" w:hAnsi="宋体" w:eastAsia="宋体" w:cs="宋体"/>
                <w:color w:val="333333"/>
                <w:kern w:val="0"/>
                <w:sz w:val="20"/>
                <w:szCs w:val="20"/>
                <w:lang w:bidi="ar"/>
              </w:rPr>
              <w:t>三三、本年度办理结果</w:t>
            </w:r>
          </w:p>
        </w:tc>
        <w:tc>
          <w:tcPr>
            <w:tcW w:w="4192" w:type="dxa"/>
            <w:gridSpan w:val="2"/>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left"/>
            </w:pPr>
            <w:r>
              <w:rPr>
                <w:rFonts w:hint="eastAsia" w:ascii="宋体" w:hAnsi="宋体" w:eastAsia="宋体" w:cs="宋体"/>
                <w:color w:val="333333"/>
                <w:kern w:val="0"/>
                <w:sz w:val="20"/>
                <w:szCs w:val="20"/>
                <w:lang w:bidi="ar"/>
              </w:rPr>
              <w:t>（一）予以公开</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auto"/>
                <w:kern w:val="0"/>
                <w:sz w:val="20"/>
                <w:szCs w:val="20"/>
                <w:lang w:bidi="ar"/>
              </w:rPr>
              <w:t>4</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auto"/>
                <w:kern w:val="0"/>
                <w:sz w:val="20"/>
                <w:szCs w:val="20"/>
                <w:lang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715" w:hRule="atLeast"/>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4192" w:type="dxa"/>
            <w:gridSpan w:val="2"/>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left"/>
            </w:pPr>
            <w:r>
              <w:rPr>
                <w:rFonts w:hint="eastAsia" w:ascii="宋体" w:hAnsi="宋体" w:eastAsia="宋体" w:cs="宋体"/>
                <w:color w:val="333333"/>
                <w:kern w:val="0"/>
                <w:sz w:val="20"/>
                <w:szCs w:val="20"/>
                <w:lang w:bidi="ar"/>
              </w:rPr>
              <w:t>（二）部分公开</w:t>
            </w:r>
            <w:r>
              <w:rPr>
                <w:rFonts w:hint="eastAsia" w:ascii="楷体" w:hAnsi="楷体" w:eastAsia="楷体" w:cs="楷体"/>
                <w:color w:val="333333"/>
                <w:kern w:val="0"/>
                <w:sz w:val="20"/>
                <w:szCs w:val="20"/>
                <w:lang w:bidi="ar"/>
              </w:rPr>
              <w:t>（区分处理的，只计这一情形，不计其他情形）</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rPr>
                <w:rFonts w:ascii="Calibri" w:hAnsi="Calibri" w:eastAsia="宋体" w:cs="Calibri"/>
                <w:color w:val="333333"/>
                <w:kern w:val="0"/>
                <w:sz w:val="20"/>
                <w:szCs w:val="20"/>
                <w:lang w:bidi="ar"/>
              </w:rPr>
            </w:pPr>
          </w:p>
          <w:p>
            <w:pPr>
              <w:widowControl/>
              <w:adjustRightInd w:val="0"/>
              <w:snapToGrid w:val="0"/>
              <w:ind w:firstLine="200"/>
              <w:rPr>
                <w:rFonts w:ascii="Calibri" w:hAnsi="Calibri" w:eastAsia="宋体" w:cs="Calibri"/>
                <w:color w:val="333333"/>
                <w:kern w:val="0"/>
                <w:sz w:val="20"/>
                <w:szCs w:val="20"/>
                <w:lang w:bidi="ar"/>
              </w:rPr>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restart"/>
            <w:tcBorders>
              <w:top w:val="nil"/>
              <w:left w:val="nil"/>
              <w:bottom w:val="outset" w:color="auto" w:sz="6" w:space="0"/>
              <w:right w:val="single" w:color="auto" w:sz="8" w:space="0"/>
            </w:tcBorders>
            <w:shd w:val="clear" w:color="auto" w:fill="auto"/>
            <w:vAlign w:val="center"/>
          </w:tcPr>
          <w:p>
            <w:pPr>
              <w:widowControl/>
              <w:adjustRightInd w:val="0"/>
              <w:snapToGrid w:val="0"/>
              <w:ind w:firstLine="200"/>
              <w:jc w:val="left"/>
            </w:pPr>
            <w:r>
              <w:rPr>
                <w:rFonts w:hint="eastAsia" w:ascii="宋体" w:hAnsi="宋体" w:eastAsia="宋体" w:cs="宋体"/>
                <w:color w:val="333333"/>
                <w:kern w:val="0"/>
                <w:sz w:val="20"/>
                <w:szCs w:val="20"/>
                <w:lang w:bidi="ar"/>
              </w:rPr>
              <w:t>（三）不予公开</w:t>
            </w:r>
          </w:p>
        </w:tc>
        <w:tc>
          <w:tcPr>
            <w:tcW w:w="3271" w:type="dxa"/>
            <w:tcBorders>
              <w:top w:val="nil"/>
              <w:left w:val="nil"/>
              <w:bottom w:val="single" w:color="auto" w:sz="8" w:space="0"/>
              <w:right w:val="single" w:color="auto" w:sz="8" w:space="0"/>
            </w:tcBorders>
            <w:shd w:val="clear" w:color="auto" w:fill="auto"/>
          </w:tcPr>
          <w:p>
            <w:pPr>
              <w:widowControl/>
              <w:adjustRightInd w:val="0"/>
              <w:snapToGrid w:val="0"/>
              <w:ind w:firstLine="200"/>
              <w:jc w:val="left"/>
            </w:pPr>
            <w:r>
              <w:rPr>
                <w:rFonts w:hint="eastAsia" w:ascii="宋体" w:hAnsi="宋体" w:eastAsia="宋体" w:cs="宋体"/>
                <w:color w:val="333333"/>
                <w:kern w:val="0"/>
                <w:sz w:val="20"/>
                <w:szCs w:val="20"/>
                <w:lang w:bidi="ar"/>
              </w:rPr>
              <w:t>1.属于国家秘密</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3271" w:type="dxa"/>
            <w:tcBorders>
              <w:top w:val="nil"/>
              <w:left w:val="nil"/>
              <w:bottom w:val="single" w:color="auto" w:sz="8" w:space="0"/>
              <w:right w:val="single" w:color="auto" w:sz="8" w:space="0"/>
            </w:tcBorders>
            <w:shd w:val="clear" w:color="auto" w:fill="auto"/>
          </w:tcPr>
          <w:p>
            <w:pPr>
              <w:widowControl/>
              <w:adjustRightInd w:val="0"/>
              <w:snapToGrid w:val="0"/>
              <w:ind w:firstLine="200"/>
              <w:jc w:val="left"/>
            </w:pPr>
            <w:r>
              <w:rPr>
                <w:rFonts w:hint="eastAsia" w:ascii="宋体" w:hAnsi="宋体" w:eastAsia="宋体" w:cs="宋体"/>
                <w:color w:val="333333"/>
                <w:kern w:val="0"/>
                <w:sz w:val="20"/>
                <w:szCs w:val="20"/>
                <w:lang w:bidi="ar"/>
              </w:rPr>
              <w:t>2.其他法律行政法规禁止公开</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3271" w:type="dxa"/>
            <w:tcBorders>
              <w:top w:val="nil"/>
              <w:left w:val="nil"/>
              <w:bottom w:val="single" w:color="auto" w:sz="8" w:space="0"/>
              <w:right w:val="single" w:color="auto" w:sz="8" w:space="0"/>
            </w:tcBorders>
            <w:shd w:val="clear" w:color="auto" w:fill="auto"/>
          </w:tcPr>
          <w:p>
            <w:pPr>
              <w:widowControl/>
              <w:adjustRightInd w:val="0"/>
              <w:snapToGrid w:val="0"/>
              <w:ind w:firstLine="200"/>
              <w:jc w:val="left"/>
            </w:pPr>
            <w:r>
              <w:rPr>
                <w:rFonts w:hint="eastAsia" w:ascii="宋体" w:hAnsi="宋体" w:eastAsia="宋体" w:cs="宋体"/>
                <w:color w:val="333333"/>
                <w:kern w:val="0"/>
                <w:sz w:val="20"/>
                <w:szCs w:val="20"/>
                <w:lang w:bidi="ar"/>
              </w:rPr>
              <w:t>3.危及“三安全一稳定”</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3271" w:type="dxa"/>
            <w:tcBorders>
              <w:top w:val="nil"/>
              <w:left w:val="nil"/>
              <w:bottom w:val="single" w:color="auto" w:sz="8" w:space="0"/>
              <w:right w:val="single" w:color="auto" w:sz="8" w:space="0"/>
            </w:tcBorders>
            <w:shd w:val="clear" w:color="auto" w:fill="auto"/>
          </w:tcPr>
          <w:p>
            <w:pPr>
              <w:widowControl/>
              <w:adjustRightInd w:val="0"/>
              <w:snapToGrid w:val="0"/>
              <w:ind w:firstLine="200"/>
              <w:jc w:val="left"/>
            </w:pPr>
            <w:r>
              <w:rPr>
                <w:rFonts w:hint="eastAsia" w:ascii="宋体" w:hAnsi="宋体" w:eastAsia="宋体" w:cs="宋体"/>
                <w:color w:val="333333"/>
                <w:kern w:val="0"/>
                <w:sz w:val="20"/>
                <w:szCs w:val="20"/>
                <w:lang w:bidi="ar"/>
              </w:rPr>
              <w:t>4.保护第三方合法权益</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3271" w:type="dxa"/>
            <w:tcBorders>
              <w:top w:val="nil"/>
              <w:left w:val="nil"/>
              <w:bottom w:val="single" w:color="auto" w:sz="8" w:space="0"/>
              <w:right w:val="single" w:color="auto" w:sz="8" w:space="0"/>
            </w:tcBorders>
            <w:shd w:val="clear" w:color="auto" w:fill="auto"/>
          </w:tcPr>
          <w:p>
            <w:pPr>
              <w:widowControl/>
              <w:adjustRightInd w:val="0"/>
              <w:snapToGrid w:val="0"/>
              <w:ind w:firstLine="200"/>
              <w:jc w:val="left"/>
            </w:pPr>
            <w:r>
              <w:rPr>
                <w:rFonts w:hint="eastAsia" w:ascii="宋体" w:hAnsi="宋体" w:eastAsia="宋体" w:cs="宋体"/>
                <w:color w:val="333333"/>
                <w:kern w:val="0"/>
                <w:sz w:val="20"/>
                <w:szCs w:val="20"/>
                <w:lang w:bidi="ar"/>
              </w:rPr>
              <w:t>5.属于三类内部事务信息</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3271" w:type="dxa"/>
            <w:tcBorders>
              <w:top w:val="nil"/>
              <w:left w:val="nil"/>
              <w:bottom w:val="single" w:color="auto" w:sz="8" w:space="0"/>
              <w:right w:val="single" w:color="auto" w:sz="8" w:space="0"/>
            </w:tcBorders>
            <w:shd w:val="clear" w:color="auto" w:fill="auto"/>
          </w:tcPr>
          <w:p>
            <w:pPr>
              <w:widowControl/>
              <w:adjustRightInd w:val="0"/>
              <w:snapToGrid w:val="0"/>
              <w:ind w:firstLine="200"/>
              <w:jc w:val="left"/>
            </w:pPr>
            <w:r>
              <w:rPr>
                <w:rFonts w:hint="eastAsia" w:ascii="宋体" w:hAnsi="宋体" w:eastAsia="宋体" w:cs="宋体"/>
                <w:color w:val="333333"/>
                <w:kern w:val="0"/>
                <w:sz w:val="20"/>
                <w:szCs w:val="20"/>
                <w:lang w:bidi="ar"/>
              </w:rPr>
              <w:t>6.属于四类过程性信息</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3271" w:type="dxa"/>
            <w:tcBorders>
              <w:top w:val="nil"/>
              <w:left w:val="nil"/>
              <w:bottom w:val="single" w:color="auto" w:sz="8" w:space="0"/>
              <w:right w:val="single" w:color="auto" w:sz="8" w:space="0"/>
            </w:tcBorders>
            <w:shd w:val="clear" w:color="auto" w:fill="auto"/>
          </w:tcPr>
          <w:p>
            <w:pPr>
              <w:widowControl/>
              <w:adjustRightInd w:val="0"/>
              <w:snapToGrid w:val="0"/>
              <w:ind w:firstLine="200"/>
              <w:jc w:val="left"/>
            </w:pPr>
            <w:r>
              <w:rPr>
                <w:rFonts w:hint="eastAsia" w:ascii="宋体" w:hAnsi="宋体" w:eastAsia="宋体" w:cs="宋体"/>
                <w:color w:val="333333"/>
                <w:kern w:val="0"/>
                <w:sz w:val="20"/>
                <w:szCs w:val="20"/>
                <w:lang w:bidi="ar"/>
              </w:rPr>
              <w:t>7.属于行政执法案卷</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3271" w:type="dxa"/>
            <w:tcBorders>
              <w:top w:val="nil"/>
              <w:left w:val="nil"/>
              <w:bottom w:val="single" w:color="auto" w:sz="8" w:space="0"/>
              <w:right w:val="single" w:color="auto" w:sz="8" w:space="0"/>
            </w:tcBorders>
            <w:shd w:val="clear" w:color="auto" w:fill="auto"/>
          </w:tcPr>
          <w:p>
            <w:pPr>
              <w:widowControl/>
              <w:adjustRightInd w:val="0"/>
              <w:snapToGrid w:val="0"/>
              <w:ind w:firstLine="200"/>
              <w:jc w:val="left"/>
            </w:pPr>
            <w:r>
              <w:rPr>
                <w:rFonts w:hint="eastAsia" w:ascii="宋体" w:hAnsi="宋体" w:eastAsia="宋体" w:cs="宋体"/>
                <w:color w:val="333333"/>
                <w:kern w:val="0"/>
                <w:sz w:val="20"/>
                <w:szCs w:val="20"/>
                <w:lang w:bidi="ar"/>
              </w:rPr>
              <w:t>8.属于行政查询事项</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restart"/>
            <w:tcBorders>
              <w:top w:val="nil"/>
              <w:left w:val="nil"/>
              <w:bottom w:val="outset" w:color="auto" w:sz="6" w:space="0"/>
              <w:right w:val="single" w:color="auto" w:sz="8" w:space="0"/>
            </w:tcBorders>
            <w:shd w:val="clear" w:color="auto" w:fill="auto"/>
            <w:vAlign w:val="center"/>
          </w:tcPr>
          <w:p>
            <w:pPr>
              <w:widowControl/>
              <w:adjustRightInd w:val="0"/>
              <w:snapToGrid w:val="0"/>
              <w:ind w:firstLine="200"/>
              <w:jc w:val="left"/>
            </w:pPr>
            <w:r>
              <w:rPr>
                <w:rFonts w:hint="eastAsia" w:ascii="宋体" w:hAnsi="宋体" w:eastAsia="宋体" w:cs="宋体"/>
                <w:color w:val="333333"/>
                <w:kern w:val="0"/>
                <w:sz w:val="20"/>
                <w:szCs w:val="20"/>
                <w:lang w:bidi="ar"/>
              </w:rPr>
              <w:t>（四）无法提供</w:t>
            </w:r>
          </w:p>
        </w:tc>
        <w:tc>
          <w:tcPr>
            <w:tcW w:w="3271" w:type="dxa"/>
            <w:tcBorders>
              <w:top w:val="nil"/>
              <w:left w:val="nil"/>
              <w:bottom w:val="single" w:color="auto" w:sz="8" w:space="0"/>
              <w:right w:val="single" w:color="auto" w:sz="8" w:space="0"/>
            </w:tcBorders>
            <w:shd w:val="clear" w:color="auto" w:fill="auto"/>
          </w:tcPr>
          <w:p>
            <w:pPr>
              <w:widowControl/>
              <w:adjustRightInd w:val="0"/>
              <w:snapToGrid w:val="0"/>
              <w:ind w:firstLine="200"/>
              <w:jc w:val="left"/>
            </w:pPr>
            <w:r>
              <w:rPr>
                <w:rFonts w:hint="eastAsia" w:ascii="宋体" w:hAnsi="宋体" w:eastAsia="宋体" w:cs="宋体"/>
                <w:color w:val="333333"/>
                <w:kern w:val="0"/>
                <w:sz w:val="20"/>
                <w:szCs w:val="20"/>
                <w:lang w:bidi="ar"/>
              </w:rPr>
              <w:t>1.本机关不掌握相关政府信息</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rPr>
                <w:rFonts w:hint="eastAsia" w:eastAsiaTheme="minorEastAsia"/>
                <w:lang w:eastAsia="zh-CN"/>
              </w:rPr>
            </w:pPr>
            <w:r>
              <w:rPr>
                <w:rFonts w:hint="eastAsia" w:ascii="Calibri" w:hAnsi="Calibri" w:eastAsia="宋体" w:cs="Calibri"/>
                <w:color w:val="333333"/>
                <w:kern w:val="0"/>
                <w:sz w:val="20"/>
                <w:szCs w:val="20"/>
                <w:lang w:val="en-US" w:eastAsia="zh-CN" w:bidi="ar"/>
              </w:rPr>
              <w:t>3</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rPr>
                <w:rFonts w:hint="eastAsia" w:eastAsiaTheme="minorEastAsia"/>
                <w:lang w:eastAsia="zh-CN"/>
              </w:rPr>
            </w:pPr>
            <w:r>
              <w:rPr>
                <w:rFonts w:hint="eastAsia" w:ascii="Calibri" w:hAnsi="Calibri" w:eastAsia="宋体" w:cs="Calibri"/>
                <w:color w:val="333333"/>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3271" w:type="dxa"/>
            <w:tcBorders>
              <w:top w:val="nil"/>
              <w:left w:val="nil"/>
              <w:bottom w:val="single" w:color="auto" w:sz="8" w:space="0"/>
              <w:right w:val="single" w:color="auto" w:sz="8" w:space="0"/>
            </w:tcBorders>
            <w:shd w:val="clear" w:color="auto" w:fill="auto"/>
          </w:tcPr>
          <w:p>
            <w:pPr>
              <w:widowControl/>
              <w:adjustRightInd w:val="0"/>
              <w:snapToGrid w:val="0"/>
              <w:ind w:firstLine="200"/>
              <w:jc w:val="left"/>
            </w:pPr>
            <w:r>
              <w:rPr>
                <w:rFonts w:hint="eastAsia" w:ascii="宋体" w:hAnsi="宋体" w:eastAsia="宋体" w:cs="宋体"/>
                <w:color w:val="333333"/>
                <w:kern w:val="0"/>
                <w:sz w:val="20"/>
                <w:szCs w:val="20"/>
                <w:lang w:bidi="ar"/>
              </w:rPr>
              <w:t>2.没有现成信息需要另行制作</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3271" w:type="dxa"/>
            <w:tcBorders>
              <w:top w:val="nil"/>
              <w:left w:val="nil"/>
              <w:bottom w:val="single" w:color="auto" w:sz="8" w:space="0"/>
              <w:right w:val="single" w:color="auto" w:sz="8" w:space="0"/>
            </w:tcBorders>
            <w:shd w:val="clear" w:color="auto" w:fill="auto"/>
          </w:tcPr>
          <w:p>
            <w:pPr>
              <w:widowControl/>
              <w:adjustRightInd w:val="0"/>
              <w:snapToGrid w:val="0"/>
              <w:ind w:firstLine="200"/>
              <w:jc w:val="left"/>
            </w:pPr>
            <w:r>
              <w:rPr>
                <w:rFonts w:hint="eastAsia" w:ascii="宋体" w:hAnsi="宋体" w:eastAsia="宋体" w:cs="宋体"/>
                <w:color w:val="333333"/>
                <w:kern w:val="0"/>
                <w:sz w:val="20"/>
                <w:szCs w:val="20"/>
                <w:lang w:bidi="ar"/>
              </w:rPr>
              <w:t>3.补正后申请内容仍不明确</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restart"/>
            <w:tcBorders>
              <w:top w:val="nil"/>
              <w:left w:val="nil"/>
              <w:bottom w:val="outset" w:color="auto" w:sz="6" w:space="0"/>
              <w:right w:val="single" w:color="auto" w:sz="8" w:space="0"/>
            </w:tcBorders>
            <w:shd w:val="clear" w:color="auto" w:fill="auto"/>
            <w:vAlign w:val="center"/>
          </w:tcPr>
          <w:p>
            <w:pPr>
              <w:widowControl/>
              <w:adjustRightInd w:val="0"/>
              <w:snapToGrid w:val="0"/>
              <w:ind w:firstLine="200"/>
              <w:jc w:val="left"/>
            </w:pPr>
            <w:r>
              <w:rPr>
                <w:rFonts w:hint="eastAsia" w:ascii="宋体" w:hAnsi="宋体" w:eastAsia="宋体" w:cs="宋体"/>
                <w:color w:val="333333"/>
                <w:kern w:val="0"/>
                <w:sz w:val="20"/>
                <w:szCs w:val="20"/>
                <w:lang w:bidi="ar"/>
              </w:rPr>
              <w:t>（五）不予处理</w:t>
            </w:r>
          </w:p>
        </w:tc>
        <w:tc>
          <w:tcPr>
            <w:tcW w:w="3271" w:type="dxa"/>
            <w:tcBorders>
              <w:top w:val="nil"/>
              <w:left w:val="nil"/>
              <w:bottom w:val="single" w:color="auto" w:sz="8" w:space="0"/>
              <w:right w:val="single" w:color="auto" w:sz="8" w:space="0"/>
            </w:tcBorders>
            <w:shd w:val="clear" w:color="auto" w:fill="auto"/>
          </w:tcPr>
          <w:p>
            <w:pPr>
              <w:widowControl/>
              <w:adjustRightInd w:val="0"/>
              <w:snapToGrid w:val="0"/>
              <w:ind w:firstLine="200"/>
              <w:jc w:val="left"/>
            </w:pPr>
            <w:r>
              <w:rPr>
                <w:rFonts w:hint="eastAsia" w:ascii="宋体" w:hAnsi="宋体" w:eastAsia="宋体" w:cs="宋体"/>
                <w:color w:val="333333"/>
                <w:kern w:val="0"/>
                <w:sz w:val="20"/>
                <w:szCs w:val="20"/>
                <w:lang w:bidi="ar"/>
              </w:rPr>
              <w:t>1.信访举报投诉类申请</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3271" w:type="dxa"/>
            <w:tcBorders>
              <w:top w:val="single" w:color="auto" w:sz="8" w:space="0"/>
              <w:left w:val="nil"/>
              <w:bottom w:val="single" w:color="auto" w:sz="8" w:space="0"/>
              <w:right w:val="single" w:color="auto" w:sz="8" w:space="0"/>
            </w:tcBorders>
            <w:shd w:val="clear" w:color="auto" w:fill="auto"/>
          </w:tcPr>
          <w:p>
            <w:pPr>
              <w:widowControl/>
              <w:adjustRightInd w:val="0"/>
              <w:snapToGrid w:val="0"/>
              <w:ind w:firstLine="200"/>
              <w:jc w:val="left"/>
            </w:pPr>
            <w:r>
              <w:rPr>
                <w:rFonts w:hint="eastAsia" w:ascii="宋体" w:hAnsi="宋体" w:eastAsia="宋体" w:cs="宋体"/>
                <w:color w:val="333333"/>
                <w:kern w:val="0"/>
                <w:sz w:val="20"/>
                <w:szCs w:val="20"/>
                <w:lang w:bidi="ar"/>
              </w:rPr>
              <w:t>2.重复申请</w:t>
            </w:r>
          </w:p>
        </w:tc>
        <w:tc>
          <w:tcPr>
            <w:tcW w:w="423"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rPr>
              <w:t>0</w:t>
            </w:r>
          </w:p>
        </w:tc>
        <w:tc>
          <w:tcPr>
            <w:tcW w:w="600"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3271" w:type="dxa"/>
            <w:tcBorders>
              <w:top w:val="single" w:color="auto" w:sz="8" w:space="0"/>
              <w:left w:val="nil"/>
              <w:bottom w:val="single" w:color="auto" w:sz="8" w:space="0"/>
              <w:right w:val="single" w:color="auto" w:sz="8" w:space="0"/>
            </w:tcBorders>
            <w:shd w:val="clear" w:color="auto" w:fill="auto"/>
          </w:tcPr>
          <w:p>
            <w:pPr>
              <w:widowControl/>
              <w:adjustRightInd w:val="0"/>
              <w:snapToGrid w:val="0"/>
              <w:ind w:firstLine="200"/>
              <w:jc w:val="left"/>
            </w:pPr>
            <w:r>
              <w:rPr>
                <w:rFonts w:hint="eastAsia" w:ascii="宋体" w:hAnsi="宋体" w:eastAsia="宋体" w:cs="宋体"/>
                <w:color w:val="333333"/>
                <w:kern w:val="0"/>
                <w:sz w:val="20"/>
                <w:szCs w:val="20"/>
                <w:lang w:bidi="ar"/>
              </w:rPr>
              <w:t>3.要求提供公开出版物</w:t>
            </w:r>
          </w:p>
        </w:tc>
        <w:tc>
          <w:tcPr>
            <w:tcW w:w="423"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rPr>
              <w:t>0</w:t>
            </w:r>
          </w:p>
        </w:tc>
        <w:tc>
          <w:tcPr>
            <w:tcW w:w="600"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3271" w:type="dxa"/>
            <w:tcBorders>
              <w:top w:val="single" w:color="auto" w:sz="8" w:space="0"/>
              <w:left w:val="nil"/>
              <w:bottom w:val="single" w:color="auto" w:sz="8" w:space="0"/>
              <w:right w:val="single" w:color="auto" w:sz="8" w:space="0"/>
            </w:tcBorders>
            <w:shd w:val="clear" w:color="auto" w:fill="auto"/>
          </w:tcPr>
          <w:p>
            <w:pPr>
              <w:widowControl/>
              <w:adjustRightInd w:val="0"/>
              <w:snapToGrid w:val="0"/>
              <w:ind w:firstLine="200"/>
              <w:jc w:val="left"/>
            </w:pPr>
            <w:r>
              <w:rPr>
                <w:rFonts w:hint="eastAsia" w:ascii="宋体" w:hAnsi="宋体" w:eastAsia="宋体" w:cs="宋体"/>
                <w:color w:val="333333"/>
                <w:kern w:val="0"/>
                <w:sz w:val="20"/>
                <w:szCs w:val="20"/>
                <w:lang w:bidi="ar"/>
              </w:rPr>
              <w:t>4.无正当理由大量反复申请</w:t>
            </w:r>
          </w:p>
        </w:tc>
        <w:tc>
          <w:tcPr>
            <w:tcW w:w="423"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rPr>
              <w:t>0</w:t>
            </w:r>
          </w:p>
        </w:tc>
        <w:tc>
          <w:tcPr>
            <w:tcW w:w="600"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504" w:hRule="atLeast"/>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continue"/>
            <w:tcBorders>
              <w:top w:val="nil"/>
              <w:left w:val="nil"/>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3271" w:type="dxa"/>
            <w:tcBorders>
              <w:top w:val="nil"/>
              <w:left w:val="nil"/>
              <w:bottom w:val="outset" w:color="auto" w:sz="6" w:space="0"/>
              <w:right w:val="single" w:color="auto" w:sz="8" w:space="0"/>
            </w:tcBorders>
            <w:shd w:val="clear" w:color="auto" w:fill="auto"/>
            <w:vAlign w:val="center"/>
          </w:tcPr>
          <w:p>
            <w:pPr>
              <w:widowControl/>
              <w:adjustRightInd w:val="0"/>
              <w:snapToGrid w:val="0"/>
              <w:ind w:firstLine="200"/>
            </w:pPr>
            <w:r>
              <w:rPr>
                <w:rFonts w:hint="eastAsia" w:ascii="宋体" w:hAnsi="宋体" w:eastAsia="宋体" w:cs="宋体"/>
                <w:color w:val="333333"/>
                <w:kern w:val="0"/>
                <w:sz w:val="20"/>
                <w:szCs w:val="20"/>
                <w:lang w:bidi="ar"/>
              </w:rPr>
              <w:t>5.要求行政机关确认或重新出具已获取信息</w:t>
            </w:r>
          </w:p>
        </w:tc>
        <w:tc>
          <w:tcPr>
            <w:tcW w:w="423" w:type="dxa"/>
            <w:tcBorders>
              <w:top w:val="nil"/>
              <w:left w:val="nil"/>
              <w:bottom w:val="outset" w:color="auto" w:sz="6" w:space="0"/>
              <w:right w:val="single" w:color="auto" w:sz="8" w:space="0"/>
            </w:tcBorders>
            <w:shd w:val="clear" w:color="auto" w:fill="auto"/>
            <w:vAlign w:val="center"/>
          </w:tcPr>
          <w:p>
            <w:pPr>
              <w:widowControl/>
              <w:adjustRightInd w:val="0"/>
              <w:snapToGrid w:val="0"/>
              <w:ind w:firstLine="0" w:firstLineChars="0"/>
              <w:jc w:val="center"/>
            </w:pPr>
            <w:r>
              <w:rPr>
                <w:rFonts w:hint="eastAsia"/>
              </w:rPr>
              <w:t>0</w:t>
            </w:r>
          </w:p>
        </w:tc>
        <w:tc>
          <w:tcPr>
            <w:tcW w:w="600" w:type="dxa"/>
            <w:tcBorders>
              <w:top w:val="nil"/>
              <w:left w:val="nil"/>
              <w:bottom w:val="outset" w:color="auto" w:sz="6"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outset" w:color="auto" w:sz="6"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outset" w:color="auto" w:sz="6"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outset" w:color="auto" w:sz="6"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outset" w:color="auto" w:sz="6"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outset" w:color="auto" w:sz="6"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964" w:hRule="atLeast"/>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restart"/>
            <w:tcBorders>
              <w:top w:val="outset" w:color="auto" w:sz="6" w:space="0"/>
              <w:left w:val="nil"/>
              <w:bottom w:val="outset" w:color="auto" w:sz="6" w:space="0"/>
              <w:right w:val="single" w:color="auto" w:sz="8" w:space="0"/>
            </w:tcBorders>
            <w:shd w:val="clear" w:color="auto" w:fill="auto"/>
            <w:vAlign w:val="center"/>
          </w:tcPr>
          <w:p>
            <w:pPr>
              <w:widowControl/>
              <w:adjustRightInd w:val="0"/>
              <w:snapToGrid w:val="0"/>
              <w:ind w:firstLine="200"/>
              <w:jc w:val="left"/>
            </w:pPr>
            <w:r>
              <w:rPr>
                <w:rFonts w:hint="eastAsia" w:ascii="宋体" w:hAnsi="宋体" w:eastAsia="宋体" w:cs="宋体"/>
                <w:color w:val="333333"/>
                <w:kern w:val="0"/>
                <w:sz w:val="20"/>
                <w:szCs w:val="20"/>
                <w:lang w:bidi="ar"/>
              </w:rPr>
              <w:t>（六）其他处理</w:t>
            </w:r>
          </w:p>
        </w:tc>
        <w:tc>
          <w:tcPr>
            <w:tcW w:w="3271"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宋体" w:hAnsi="宋体" w:eastAsia="宋体" w:cs="宋体"/>
                <w:color w:val="333333"/>
                <w:kern w:val="0"/>
                <w:sz w:val="20"/>
                <w:szCs w:val="20"/>
                <w:lang w:bidi="ar"/>
              </w:rPr>
              <w:t>1.申请人无正当理由逾期不补正、行政机关不再处理其政府信息公开申请</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rPr>
                <w:rFonts w:ascii="Calibri" w:hAnsi="Calibri" w:eastAsia="宋体" w:cs="Calibri"/>
                <w:color w:val="333333"/>
                <w:kern w:val="0"/>
                <w:sz w:val="20"/>
                <w:szCs w:val="20"/>
                <w:lang w:bidi="ar"/>
              </w:rPr>
            </w:pPr>
          </w:p>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736" w:hRule="atLeast"/>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3271"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宋体" w:hAnsi="宋体" w:eastAsia="宋体" w:cs="宋体"/>
                <w:color w:val="333333"/>
                <w:kern w:val="0"/>
                <w:sz w:val="20"/>
                <w:szCs w:val="20"/>
                <w:lang w:bidi="ar"/>
              </w:rPr>
              <w:t>2.申请人逾期未按收费通知要求缴纳费用、行政机关不再处理其政府信息公开申请</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rPr>
                <w:rFonts w:ascii="Calibri" w:hAnsi="Calibri" w:eastAsia="宋体" w:cs="Calibri"/>
                <w:color w:val="333333"/>
                <w:kern w:val="0"/>
                <w:sz w:val="20"/>
                <w:szCs w:val="20"/>
                <w:lang w:bidi="ar"/>
              </w:rPr>
            </w:pPr>
          </w:p>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3271"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left"/>
            </w:pPr>
            <w:r>
              <w:rPr>
                <w:rFonts w:hint="eastAsia" w:ascii="宋体" w:hAnsi="宋体" w:eastAsia="宋体" w:cs="宋体"/>
                <w:color w:val="333333"/>
                <w:kern w:val="0"/>
                <w:sz w:val="20"/>
                <w:szCs w:val="20"/>
                <w:lang w:bidi="ar"/>
              </w:rPr>
              <w:t>3.其他</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293" w:type="dxa"/>
            <w:vMerge w:val="continue"/>
            <w:tcBorders>
              <w:top w:val="nil"/>
              <w:left w:val="single" w:color="auto" w:sz="8" w:space="0"/>
              <w:bottom w:val="outset" w:color="auto" w:sz="6" w:space="0"/>
              <w:right w:val="single" w:color="auto" w:sz="8"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4192" w:type="dxa"/>
            <w:gridSpan w:val="2"/>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left"/>
            </w:pPr>
            <w:r>
              <w:rPr>
                <w:rFonts w:hint="eastAsia" w:ascii="宋体" w:hAnsi="宋体" w:eastAsia="宋体" w:cs="宋体"/>
                <w:color w:val="333333"/>
                <w:kern w:val="0"/>
                <w:sz w:val="20"/>
                <w:szCs w:val="20"/>
                <w:lang w:bidi="ar"/>
              </w:rPr>
              <w:t>（七）总计</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auto"/>
                <w:kern w:val="0"/>
                <w:sz w:val="20"/>
                <w:szCs w:val="20"/>
                <w:lang w:bidi="ar"/>
              </w:rPr>
              <w:t>4</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485" w:type="dxa"/>
            <w:gridSpan w:val="3"/>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ind w:firstLine="200"/>
              <w:jc w:val="left"/>
            </w:pPr>
            <w:r>
              <w:rPr>
                <w:rFonts w:hint="eastAsia" w:ascii="宋体" w:hAnsi="宋体" w:eastAsia="宋体" w:cs="宋体"/>
                <w:color w:val="333333"/>
                <w:kern w:val="0"/>
                <w:sz w:val="20"/>
                <w:szCs w:val="20"/>
                <w:lang w:bidi="ar"/>
              </w:rPr>
              <w:t>四、结转下年度继续办理</w:t>
            </w:r>
          </w:p>
        </w:tc>
        <w:tc>
          <w:tcPr>
            <w:tcW w:w="423"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0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6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pPr>
            <w:r>
              <w:rPr>
                <w:rFonts w:hint="eastAsia" w:ascii="Calibri" w:hAnsi="Calibri" w:eastAsia="宋体" w:cs="Calibri"/>
                <w:color w:val="333333"/>
                <w:kern w:val="0"/>
                <w:sz w:val="20"/>
                <w:szCs w:val="20"/>
                <w:lang w:bidi="ar"/>
              </w:rPr>
              <w:t>0</w:t>
            </w:r>
          </w:p>
        </w:tc>
        <w:tc>
          <w:tcPr>
            <w:tcW w:w="96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990"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00"/>
              <w:jc w:val="center"/>
            </w:pPr>
            <w:r>
              <w:rPr>
                <w:rFonts w:hint="eastAsia" w:ascii="Calibri" w:hAnsi="Calibri" w:eastAsia="宋体" w:cs="Calibri"/>
                <w:color w:val="333333"/>
                <w:kern w:val="0"/>
                <w:sz w:val="20"/>
                <w:szCs w:val="20"/>
                <w:lang w:bidi="ar"/>
              </w:rPr>
              <w:t>0</w:t>
            </w:r>
          </w:p>
        </w:tc>
        <w:tc>
          <w:tcPr>
            <w:tcW w:w="375"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0" w:firstLineChars="0"/>
              <w:jc w:val="center"/>
            </w:pPr>
            <w:r>
              <w:rPr>
                <w:rFonts w:hint="eastAsia" w:ascii="Calibri" w:hAnsi="Calibri" w:eastAsia="宋体" w:cs="Calibri"/>
                <w:color w:val="333333"/>
                <w:kern w:val="0"/>
                <w:sz w:val="20"/>
                <w:szCs w:val="20"/>
                <w:lang w:bidi="ar"/>
              </w:rPr>
              <w:t>0</w:t>
            </w:r>
          </w:p>
        </w:tc>
        <w:tc>
          <w:tcPr>
            <w:tcW w:w="512" w:type="dxa"/>
            <w:tcBorders>
              <w:top w:val="nil"/>
              <w:left w:val="nil"/>
              <w:bottom w:val="single" w:color="auto" w:sz="8" w:space="0"/>
              <w:right w:val="single" w:color="auto" w:sz="8" w:space="0"/>
            </w:tcBorders>
            <w:shd w:val="clear" w:color="auto" w:fill="auto"/>
            <w:vAlign w:val="center"/>
          </w:tcPr>
          <w:p>
            <w:pPr>
              <w:widowControl/>
              <w:adjustRightInd w:val="0"/>
              <w:snapToGrid w:val="0"/>
              <w:ind w:firstLine="210"/>
              <w:rPr>
                <w:rFonts w:ascii="宋体" w:hAnsi="宋体" w:eastAsia="宋体" w:cs="宋体"/>
                <w:color w:val="333333"/>
                <w:szCs w:val="21"/>
              </w:rPr>
            </w:pPr>
            <w:r>
              <w:rPr>
                <w:rFonts w:hint="eastAsia" w:ascii="宋体" w:hAnsi="宋体" w:eastAsia="宋体" w:cs="宋体"/>
                <w:color w:val="333333"/>
                <w:szCs w:val="21"/>
              </w:rPr>
              <w:t>0</w:t>
            </w:r>
          </w:p>
        </w:tc>
      </w:tr>
    </w:tbl>
    <w:p>
      <w:pPr>
        <w:pStyle w:val="4"/>
        <w:widowControl/>
        <w:spacing w:line="432" w:lineRule="auto"/>
        <w:ind w:firstLine="321"/>
        <w:jc w:val="both"/>
        <w:rPr>
          <w:rFonts w:ascii="宋体" w:hAnsi="宋体" w:eastAsia="宋体" w:cs="宋体"/>
          <w:b/>
          <w:color w:val="333333"/>
          <w:sz w:val="32"/>
          <w:szCs w:val="32"/>
        </w:rPr>
      </w:pPr>
    </w:p>
    <w:p>
      <w:pPr>
        <w:pStyle w:val="4"/>
        <w:widowControl/>
        <w:spacing w:line="432" w:lineRule="auto"/>
        <w:ind w:firstLine="640" w:firstLineChars="200"/>
        <w:jc w:val="both"/>
        <w:rPr>
          <w:rFonts w:ascii="黑体" w:hAnsi="黑体" w:eastAsia="黑体" w:cs="黑体"/>
          <w:bCs/>
          <w:sz w:val="32"/>
          <w:szCs w:val="32"/>
        </w:rPr>
      </w:pPr>
      <w:r>
        <w:rPr>
          <w:rFonts w:hint="eastAsia" w:ascii="黑体" w:hAnsi="黑体" w:eastAsia="黑体" w:cs="黑体"/>
          <w:bCs/>
          <w:color w:val="333333"/>
          <w:sz w:val="32"/>
          <w:szCs w:val="32"/>
        </w:rPr>
        <w:t>四、政府信息公开行政复议、行政诉讼情况</w:t>
      </w:r>
    </w:p>
    <w:tbl>
      <w:tblPr>
        <w:tblStyle w:val="5"/>
        <w:tblW w:w="8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540"/>
        <w:gridCol w:w="480"/>
        <w:gridCol w:w="495"/>
        <w:gridCol w:w="480"/>
        <w:gridCol w:w="495"/>
        <w:gridCol w:w="570"/>
        <w:gridCol w:w="600"/>
        <w:gridCol w:w="510"/>
        <w:gridCol w:w="564"/>
        <w:gridCol w:w="525"/>
        <w:gridCol w:w="585"/>
        <w:gridCol w:w="589"/>
        <w:gridCol w:w="581"/>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宋体" w:hAnsi="宋体" w:eastAsia="宋体" w:cs="宋体"/>
                <w:color w:val="333333"/>
                <w:kern w:val="0"/>
                <w:sz w:val="20"/>
                <w:szCs w:val="20"/>
                <w:lang w:bidi="ar"/>
              </w:rPr>
              <w:t>行政复议</w:t>
            </w:r>
          </w:p>
        </w:tc>
        <w:tc>
          <w:tcPr>
            <w:tcW w:w="5574"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宋体" w:hAnsi="宋体" w:eastAsia="宋体" w:cs="宋体"/>
                <w:color w:val="333333"/>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0" w:lineRule="atLeast"/>
              <w:ind w:firstLine="0" w:firstLineChars="0"/>
              <w:jc w:val="center"/>
            </w:pPr>
            <w:r>
              <w:rPr>
                <w:rFonts w:hint="eastAsia" w:ascii="宋体" w:hAnsi="宋体" w:eastAsia="宋体" w:cs="宋体"/>
                <w:color w:val="333333"/>
                <w:kern w:val="0"/>
                <w:sz w:val="20"/>
                <w:szCs w:val="20"/>
                <w:lang w:bidi="ar"/>
              </w:rPr>
              <w:t>结果维持</w:t>
            </w:r>
          </w:p>
        </w:tc>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0" w:lineRule="atLeast"/>
              <w:ind w:firstLine="0" w:firstLineChars="0"/>
              <w:jc w:val="center"/>
            </w:pPr>
            <w:r>
              <w:rPr>
                <w:rFonts w:hint="eastAsia" w:ascii="宋体" w:hAnsi="宋体" w:eastAsia="宋体" w:cs="宋体"/>
                <w:color w:val="333333"/>
                <w:kern w:val="0"/>
                <w:sz w:val="20"/>
                <w:szCs w:val="20"/>
                <w:lang w:bidi="ar"/>
              </w:rPr>
              <w:t>结果</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纠正</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 w:lineRule="atLeast"/>
              <w:ind w:firstLine="0" w:firstLineChars="0"/>
              <w:jc w:val="center"/>
            </w:pPr>
            <w:r>
              <w:rPr>
                <w:rFonts w:hint="eastAsia" w:ascii="宋体" w:hAnsi="宋体" w:eastAsia="宋体" w:cs="宋体"/>
                <w:color w:val="333333"/>
                <w:kern w:val="0"/>
                <w:sz w:val="20"/>
                <w:szCs w:val="20"/>
                <w:lang w:bidi="ar"/>
              </w:rPr>
              <w:t>其他</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结果</w:t>
            </w:r>
          </w:p>
        </w:tc>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 w:lineRule="atLeast"/>
              <w:ind w:firstLine="0" w:firstLineChars="0"/>
              <w:jc w:val="center"/>
            </w:pPr>
            <w:r>
              <w:rPr>
                <w:rFonts w:hint="eastAsia" w:ascii="宋体" w:hAnsi="宋体" w:eastAsia="宋体" w:cs="宋体"/>
                <w:color w:val="333333"/>
                <w:kern w:val="0"/>
                <w:sz w:val="20"/>
                <w:szCs w:val="20"/>
                <w:lang w:bidi="ar"/>
              </w:rPr>
              <w:t>尚未</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审结</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 w:lineRule="atLeast"/>
              <w:ind w:firstLine="0" w:firstLineChars="0"/>
              <w:jc w:val="center"/>
            </w:pPr>
            <w:r>
              <w:rPr>
                <w:rFonts w:hint="eastAsia" w:ascii="宋体" w:hAnsi="宋体" w:eastAsia="宋体" w:cs="宋体"/>
                <w:color w:val="333333"/>
                <w:kern w:val="0"/>
                <w:sz w:val="20"/>
                <w:szCs w:val="20"/>
                <w:lang w:bidi="ar"/>
              </w:rPr>
              <w:t>总计</w:t>
            </w:r>
          </w:p>
        </w:tc>
        <w:tc>
          <w:tcPr>
            <w:tcW w:w="27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 w:lineRule="atLeast"/>
              <w:ind w:firstLine="0" w:firstLineChars="0"/>
              <w:jc w:val="center"/>
            </w:pPr>
            <w:r>
              <w:rPr>
                <w:rFonts w:hint="eastAsia" w:ascii="宋体" w:hAnsi="宋体" w:eastAsia="宋体" w:cs="宋体"/>
                <w:color w:val="333333"/>
                <w:kern w:val="0"/>
                <w:sz w:val="20"/>
                <w:szCs w:val="20"/>
                <w:lang w:bidi="ar"/>
              </w:rPr>
              <w:t>未经复议直接起诉</w:t>
            </w:r>
          </w:p>
        </w:tc>
        <w:tc>
          <w:tcPr>
            <w:tcW w:w="283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 w:lineRule="atLeast"/>
              <w:ind w:firstLine="0" w:firstLineChars="0"/>
              <w:jc w:val="center"/>
            </w:pPr>
            <w:r>
              <w:rPr>
                <w:rFonts w:hint="eastAsia" w:ascii="宋体" w:hAnsi="宋体" w:eastAsia="宋体" w:cs="宋体"/>
                <w:color w:val="333333"/>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210"/>
              <w:jc w:val="left"/>
              <w:rPr>
                <w:rFonts w:ascii="宋体" w:hAnsi="宋体" w:eastAsia="宋体" w:cs="宋体"/>
                <w:color w:val="333333"/>
                <w:szCs w:val="21"/>
              </w:rPr>
            </w:pP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 w:lineRule="atLeast"/>
              <w:ind w:firstLine="0" w:firstLineChars="0"/>
              <w:jc w:val="center"/>
            </w:pPr>
            <w:r>
              <w:rPr>
                <w:rFonts w:hint="eastAsia" w:ascii="宋体" w:hAnsi="宋体" w:eastAsia="宋体" w:cs="宋体"/>
                <w:color w:val="333333"/>
                <w:kern w:val="0"/>
                <w:sz w:val="20"/>
                <w:szCs w:val="20"/>
                <w:lang w:bidi="ar"/>
              </w:rPr>
              <w:t>结果</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维持</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center"/>
            </w:pPr>
            <w:r>
              <w:rPr>
                <w:rFonts w:hint="eastAsia" w:ascii="宋体" w:hAnsi="宋体" w:eastAsia="宋体" w:cs="宋体"/>
                <w:color w:val="333333"/>
                <w:kern w:val="0"/>
                <w:sz w:val="20"/>
                <w:szCs w:val="20"/>
                <w:lang w:bidi="ar"/>
              </w:rPr>
              <w:t>结果</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纠正</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center"/>
            </w:pPr>
            <w:r>
              <w:rPr>
                <w:rFonts w:hint="eastAsia" w:ascii="宋体" w:hAnsi="宋体" w:eastAsia="宋体" w:cs="宋体"/>
                <w:color w:val="333333"/>
                <w:kern w:val="0"/>
                <w:sz w:val="20"/>
                <w:szCs w:val="20"/>
                <w:lang w:bidi="ar"/>
              </w:rPr>
              <w:t>其他</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结果</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center"/>
            </w:pPr>
            <w:r>
              <w:rPr>
                <w:rFonts w:hint="eastAsia" w:ascii="宋体" w:hAnsi="宋体" w:eastAsia="宋体" w:cs="宋体"/>
                <w:color w:val="333333"/>
                <w:kern w:val="0"/>
                <w:sz w:val="20"/>
                <w:szCs w:val="20"/>
                <w:lang w:bidi="ar"/>
              </w:rPr>
              <w:t>尚未</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审结</w:t>
            </w: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center"/>
            </w:pPr>
            <w:r>
              <w:rPr>
                <w:rFonts w:hint="eastAsia" w:ascii="宋体" w:hAnsi="宋体" w:eastAsia="宋体" w:cs="宋体"/>
                <w:color w:val="000000"/>
                <w:kern w:val="0"/>
                <w:sz w:val="20"/>
                <w:szCs w:val="20"/>
                <w:lang w:bidi="ar"/>
              </w:rPr>
              <w:t>总计</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center"/>
            </w:pPr>
            <w:r>
              <w:rPr>
                <w:rFonts w:hint="eastAsia" w:ascii="宋体" w:hAnsi="宋体" w:eastAsia="宋体" w:cs="宋体"/>
                <w:color w:val="333333"/>
                <w:kern w:val="0"/>
                <w:sz w:val="20"/>
                <w:szCs w:val="20"/>
                <w:lang w:bidi="ar"/>
              </w:rPr>
              <w:t>结果</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维持</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center"/>
            </w:pPr>
            <w:r>
              <w:rPr>
                <w:rFonts w:hint="eastAsia" w:ascii="宋体" w:hAnsi="宋体" w:eastAsia="宋体" w:cs="宋体"/>
                <w:color w:val="333333"/>
                <w:kern w:val="0"/>
                <w:sz w:val="20"/>
                <w:szCs w:val="20"/>
                <w:lang w:bidi="ar"/>
              </w:rPr>
              <w:t>结果</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纠正</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center"/>
            </w:pPr>
            <w:r>
              <w:rPr>
                <w:rFonts w:hint="eastAsia" w:ascii="宋体" w:hAnsi="宋体" w:eastAsia="宋体" w:cs="宋体"/>
                <w:color w:val="000000"/>
                <w:kern w:val="0"/>
                <w:sz w:val="20"/>
                <w:szCs w:val="20"/>
                <w:lang w:bidi="ar"/>
              </w:rPr>
              <w:t>其他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结果</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center"/>
            </w:pPr>
            <w:r>
              <w:rPr>
                <w:rFonts w:hint="eastAsia" w:ascii="宋体" w:hAnsi="宋体" w:eastAsia="宋体" w:cs="宋体"/>
                <w:color w:val="333333"/>
                <w:kern w:val="0"/>
                <w:sz w:val="20"/>
                <w:szCs w:val="20"/>
                <w:lang w:bidi="ar"/>
              </w:rPr>
              <w:t>尚未</w:t>
            </w:r>
            <w:r>
              <w:rPr>
                <w:rFonts w:hint="eastAsia" w:ascii="宋体" w:hAnsi="宋体" w:eastAsia="宋体" w:cs="宋体"/>
                <w:color w:val="333333"/>
                <w:kern w:val="0"/>
                <w:sz w:val="20"/>
                <w:szCs w:val="20"/>
                <w:lang w:bidi="ar"/>
              </w:rPr>
              <w:br w:type="textWrapping"/>
            </w:r>
            <w:r>
              <w:rPr>
                <w:rFonts w:hint="eastAsia" w:ascii="宋体" w:hAnsi="宋体" w:eastAsia="宋体" w:cs="宋体"/>
                <w:color w:val="333333"/>
                <w:kern w:val="0"/>
                <w:sz w:val="20"/>
                <w:szCs w:val="20"/>
                <w:lang w:bidi="ar"/>
              </w:rPr>
              <w:t>审结</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center"/>
            </w:pPr>
            <w:r>
              <w:rPr>
                <w:rFonts w:hint="eastAsia" w:ascii="宋体" w:hAnsi="宋体" w:eastAsia="宋体" w:cs="宋体"/>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黑体" w:hAnsi="宋体" w:eastAsia="黑体" w:cs="黑体"/>
                <w:color w:val="333333"/>
                <w:sz w:val="20"/>
                <w:szCs w:val="20"/>
                <w:lang w:bidi="ar"/>
              </w:rPr>
              <w:t>0</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黑体" w:hAnsi="宋体" w:eastAsia="黑体" w:cs="黑体"/>
                <w:color w:val="333333"/>
                <w:sz w:val="20"/>
                <w:szCs w:val="20"/>
                <w:lang w:bidi="ar"/>
              </w:rPr>
              <w:t>0</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黑体" w:hAnsi="宋体" w:eastAsia="黑体" w:cs="黑体"/>
                <w:color w:val="333333"/>
                <w:sz w:val="20"/>
                <w:szCs w:val="20"/>
                <w:lang w:bidi="ar"/>
              </w:rPr>
              <w:t>0</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黑体" w:hAnsi="宋体" w:eastAsia="黑体" w:cs="黑体"/>
                <w:color w:val="333333"/>
                <w:sz w:val="20"/>
                <w:szCs w:val="20"/>
                <w:lang w:bidi="ar"/>
              </w:rPr>
              <w:t>0</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黑体" w:hAnsi="宋体" w:eastAsia="黑体" w:cs="黑体"/>
                <w:color w:val="333333"/>
                <w:sz w:val="20"/>
                <w:szCs w:val="20"/>
                <w:lang w:bidi="ar"/>
              </w:rPr>
              <w:t>0</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黑体" w:hAnsi="宋体" w:eastAsia="黑体" w:cs="黑体"/>
                <w:color w:val="333333"/>
                <w:sz w:val="20"/>
                <w:szCs w:val="20"/>
                <w:lang w:bidi="ar"/>
              </w:rPr>
              <w:t>0</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黑体" w:hAnsi="宋体" w:eastAsia="黑体" w:cs="黑体"/>
                <w:color w:val="333333"/>
                <w:sz w:val="20"/>
                <w:szCs w:val="20"/>
                <w:lang w:bidi="ar"/>
              </w:rPr>
              <w:t>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黑体" w:hAnsi="宋体" w:eastAsia="黑体" w:cs="黑体"/>
                <w:color w:val="333333"/>
                <w:sz w:val="20"/>
                <w:szCs w:val="20"/>
                <w:lang w:bidi="ar"/>
              </w:rPr>
              <w:t>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黑体" w:hAnsi="宋体" w:eastAsia="黑体" w:cs="黑体"/>
                <w:color w:val="333333"/>
                <w:sz w:val="20"/>
                <w:szCs w:val="20"/>
                <w:lang w:bidi="ar"/>
              </w:rPr>
              <w:t>0</w:t>
            </w: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黑体" w:hAnsi="宋体" w:eastAsia="黑体" w:cs="黑体"/>
                <w:color w:val="333333"/>
                <w:sz w:val="20"/>
                <w:szCs w:val="20"/>
                <w:lang w:bidi="ar"/>
              </w:rPr>
              <w:t>0</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黑体" w:hAnsi="宋体" w:eastAsia="黑体" w:cs="黑体"/>
                <w:color w:val="333333"/>
                <w:sz w:val="20"/>
                <w:szCs w:val="20"/>
                <w:lang w:bidi="ar"/>
              </w:rPr>
              <w:t>0</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黑体" w:hAnsi="宋体" w:eastAsia="黑体" w:cs="黑体"/>
                <w:color w:val="333333"/>
                <w:sz w:val="20"/>
                <w:szCs w:val="20"/>
                <w:lang w:bidi="ar"/>
              </w:rPr>
              <w:t>0</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黑体" w:hAnsi="宋体" w:eastAsia="黑体" w:cs="黑体"/>
                <w:color w:val="333333"/>
                <w:sz w:val="20"/>
                <w:szCs w:val="20"/>
                <w:lang w:bidi="ar"/>
              </w:rPr>
              <w:t>0</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 w:lineRule="atLeast"/>
              <w:ind w:firstLine="0" w:firstLineChars="0"/>
              <w:jc w:val="center"/>
            </w:pPr>
            <w:r>
              <w:rPr>
                <w:rFonts w:hint="eastAsia" w:ascii="黑体" w:hAnsi="宋体" w:eastAsia="黑体" w:cs="黑体"/>
                <w:color w:val="333333"/>
                <w:sz w:val="20"/>
                <w:szCs w:val="20"/>
                <w:lang w:bidi="ar"/>
              </w:rPr>
              <w:t>0</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jc w:val="center"/>
              <w:rPr>
                <w:rFonts w:ascii="宋体" w:hAnsi="宋体" w:eastAsia="宋体" w:cs="宋体"/>
                <w:color w:val="333333"/>
                <w:szCs w:val="21"/>
              </w:rPr>
            </w:pPr>
            <w:r>
              <w:rPr>
                <w:rFonts w:hint="eastAsia" w:ascii="宋体" w:hAnsi="宋体" w:eastAsia="宋体" w:cs="宋体"/>
                <w:color w:val="333333"/>
                <w:szCs w:val="21"/>
              </w:rPr>
              <w:t>0</w:t>
            </w:r>
          </w:p>
        </w:tc>
      </w:tr>
    </w:tbl>
    <w:p>
      <w:pPr>
        <w:keepNext w:val="0"/>
        <w:keepLines w:val="0"/>
        <w:pageBreakBefore w:val="0"/>
        <w:numPr>
          <w:ilvl w:val="0"/>
          <w:numId w:val="1"/>
        </w:numPr>
        <w:tabs>
          <w:tab w:val="left" w:pos="738"/>
        </w:tabs>
        <w:kinsoku/>
        <w:wordWrap/>
        <w:overflowPunct/>
        <w:topLinePunct w:val="0"/>
        <w:autoSpaceDE/>
        <w:autoSpaceDN/>
        <w:bidi w:val="0"/>
        <w:adjustRightInd w:val="0"/>
        <w:snapToGrid w:val="0"/>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存在的主要问题及改进情况</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color w:val="auto"/>
          <w:sz w:val="32"/>
          <w:szCs w:val="32"/>
          <w:lang w:val="en-US" w:eastAsia="zh-CN"/>
        </w:rPr>
        <w:t>按照省、市要求和县政府部署，县政府办在推动政府信息公开工作方面做了大量的工作，也取得了一定成效，</w:t>
      </w:r>
      <w:r>
        <w:rPr>
          <w:rFonts w:hint="eastAsia" w:ascii="仿宋" w:hAnsi="仿宋" w:eastAsia="仿宋" w:cs="仿宋"/>
          <w:color w:val="auto"/>
          <w:sz w:val="32"/>
          <w:szCs w:val="32"/>
        </w:rPr>
        <w:t>但仍存在一些不足：一是政府信息公开的时效性还需进一步增强</w:t>
      </w:r>
      <w:r>
        <w:rPr>
          <w:rFonts w:hint="eastAsia" w:ascii="仿宋" w:hAnsi="仿宋" w:eastAsia="仿宋" w:cs="仿宋"/>
          <w:color w:val="auto"/>
          <w:sz w:val="32"/>
          <w:szCs w:val="32"/>
          <w:lang w:eastAsia="zh-CN"/>
        </w:rPr>
        <w:t>；二是政策性文件的多样化解读还需进一步拓展；三</w:t>
      </w:r>
      <w:r>
        <w:rPr>
          <w:rFonts w:hint="eastAsia" w:ascii="仿宋" w:hAnsi="仿宋" w:eastAsia="仿宋" w:cs="仿宋"/>
          <w:color w:val="auto"/>
          <w:sz w:val="32"/>
          <w:szCs w:val="32"/>
        </w:rPr>
        <w:t>是公开形式的便民性还需进一步改进</w:t>
      </w:r>
      <w:r>
        <w:rPr>
          <w:rFonts w:hint="eastAsia" w:ascii="仿宋" w:hAnsi="仿宋" w:eastAsia="仿宋" w:cs="仿宋"/>
          <w:color w:val="auto"/>
          <w:sz w:val="32"/>
          <w:szCs w:val="32"/>
          <w:lang w:eastAsia="zh-CN"/>
        </w:rPr>
        <w:t>；四是政务公开业务水平还需进一步提升。</w:t>
      </w:r>
    </w:p>
    <w:p>
      <w:pPr>
        <w:keepNext w:val="0"/>
        <w:keepLines w:val="0"/>
        <w:pageBreakBefore w:val="0"/>
        <w:tabs>
          <w:tab w:val="left" w:pos="738"/>
        </w:tabs>
        <w:kinsoku/>
        <w:wordWrap/>
        <w:overflowPunct/>
        <w:topLinePunct w:val="0"/>
        <w:autoSpaceDE/>
        <w:autoSpaceDN/>
        <w:bidi w:val="0"/>
        <w:adjustRightInd w:val="0"/>
        <w:snapToGrid w:val="0"/>
        <w:spacing w:line="660" w:lineRule="exact"/>
        <w:ind w:firstLine="640" w:firstLineChars="200"/>
        <w:textAlignment w:val="auto"/>
        <w:rPr>
          <w:rFonts w:ascii="仿宋" w:hAnsi="仿宋" w:eastAsia="仿宋" w:cs="仿宋"/>
          <w:sz w:val="32"/>
          <w:szCs w:val="32"/>
        </w:rPr>
      </w:pPr>
      <w:r>
        <w:rPr>
          <w:rFonts w:hint="eastAsia" w:ascii="仿宋" w:hAnsi="仿宋" w:eastAsia="仿宋" w:cs="仿宋"/>
          <w:color w:val="auto"/>
          <w:sz w:val="32"/>
          <w:szCs w:val="32"/>
          <w:lang w:val="en-US" w:eastAsia="zh-CN"/>
        </w:rPr>
        <w:t>下一步将加强和改进政府信息公开工作：</w:t>
      </w:r>
      <w:r>
        <w:rPr>
          <w:rFonts w:hint="eastAsia" w:ascii="仿宋" w:hAnsi="仿宋" w:eastAsia="仿宋" w:cs="仿宋"/>
          <w:color w:val="auto"/>
          <w:sz w:val="32"/>
          <w:szCs w:val="32"/>
          <w:lang w:eastAsia="zh-CN"/>
        </w:rPr>
        <w:t>一是完善工作制度。继续细化优化信息发布、考核细则、监督检查等工作制度，使其更加接地气、具有可操作性，确保政府信息公开工作顺利开展。二是推进政策解读。按照“谁起草、谁解读”的原则，推进解读材料与政策性文件同步审签，鼓励多样化解读，力争通过表格、图片、漫画、音频、视频等形式展示，让群众看得懂、听明白，不断增强信息的传播力、影响力。三是加强学习培训。组织工作人员深入学习《中华人民共和国政府信息公开条例》等政府信息公开有关法律法规制度文件，强化信息公开工作培训，切实提升依法依规公开意识和履职的责任担当。</w:t>
      </w:r>
    </w:p>
    <w:p>
      <w:pPr>
        <w:pStyle w:val="4"/>
        <w:keepNext w:val="0"/>
        <w:keepLines w:val="0"/>
        <w:pageBreakBefore w:val="0"/>
        <w:widowControl/>
        <w:kinsoku/>
        <w:wordWrap/>
        <w:overflowPunct/>
        <w:topLinePunct w:val="0"/>
        <w:autoSpaceDE/>
        <w:autoSpaceDN/>
        <w:bidi w:val="0"/>
        <w:adjustRightInd w:val="0"/>
        <w:snapToGrid w:val="0"/>
        <w:spacing w:line="660" w:lineRule="exact"/>
        <w:ind w:left="420" w:leftChars="200" w:firstLine="320"/>
        <w:jc w:val="both"/>
        <w:textAlignment w:val="auto"/>
        <w:rPr>
          <w:rFonts w:ascii="黑体" w:hAnsi="黑体" w:eastAsia="黑体" w:cs="黑体"/>
          <w:bCs/>
          <w:color w:val="333333"/>
          <w:sz w:val="32"/>
          <w:szCs w:val="32"/>
        </w:rPr>
      </w:pPr>
      <w:r>
        <w:rPr>
          <w:rFonts w:hint="eastAsia" w:ascii="黑体" w:hAnsi="黑体" w:eastAsia="黑体" w:cs="黑体"/>
          <w:bCs/>
          <w:color w:val="333333"/>
          <w:sz w:val="32"/>
          <w:szCs w:val="32"/>
        </w:rPr>
        <w:t>六、其他需要报告的事项</w:t>
      </w:r>
    </w:p>
    <w:p>
      <w:pPr>
        <w:tabs>
          <w:tab w:val="left" w:pos="738"/>
        </w:tabs>
        <w:adjustRightInd w:val="0"/>
        <w:snapToGrid w:val="0"/>
        <w:spacing w:line="578" w:lineRule="exact"/>
        <w:ind w:firstLine="640" w:firstLineChars="200"/>
        <w:rPr>
          <w:rFonts w:ascii="仿宋" w:hAnsi="仿宋" w:eastAsia="仿宋" w:cs="仿宋_GB2312"/>
          <w:sz w:val="32"/>
          <w:szCs w:val="32"/>
        </w:rPr>
      </w:pPr>
      <w:r>
        <w:rPr>
          <w:rFonts w:hint="eastAsia" w:ascii="仿宋" w:hAnsi="仿宋" w:eastAsia="仿宋" w:cs="仿宋"/>
          <w:sz w:val="32"/>
          <w:szCs w:val="32"/>
        </w:rPr>
        <w:t>本机关2024年度未收取政府信息公开信息处理费。</w:t>
      </w:r>
      <w:r>
        <w:rPr>
          <w:rFonts w:hint="eastAsia" w:ascii="仿宋" w:hAnsi="仿宋" w:eastAsia="仿宋" w:cs="仿宋_GB2312"/>
          <w:sz w:val="32"/>
          <w:szCs w:val="32"/>
        </w:rPr>
        <w:t>本报告可在</w:t>
      </w:r>
      <w:r>
        <w:rPr>
          <w:rFonts w:hint="eastAsia" w:ascii="仿宋" w:hAnsi="仿宋" w:eastAsia="仿宋" w:cs="仿宋_GB2312"/>
          <w:sz w:val="32"/>
          <w:szCs w:val="32"/>
          <w:lang w:eastAsia="zh-CN"/>
        </w:rPr>
        <w:t>“</w:t>
      </w:r>
      <w:r>
        <w:rPr>
          <w:rFonts w:hint="eastAsia" w:ascii="仿宋" w:hAnsi="仿宋" w:eastAsia="仿宋" w:cs="仿宋_GB2312"/>
          <w:sz w:val="32"/>
          <w:szCs w:val="32"/>
        </w:rPr>
        <w:t>保德县人民政府网站</w:t>
      </w:r>
      <w:r>
        <w:rPr>
          <w:rFonts w:hint="eastAsia" w:ascii="仿宋" w:hAnsi="仿宋" w:eastAsia="仿宋" w:cs="仿宋_GB2312"/>
          <w:sz w:val="32"/>
          <w:szCs w:val="32"/>
          <w:lang w:eastAsia="zh-CN"/>
        </w:rPr>
        <w:t>”</w:t>
      </w:r>
      <w:r>
        <w:rPr>
          <w:rFonts w:hint="eastAsia" w:ascii="仿宋" w:hAnsi="仿宋" w:eastAsia="仿宋" w:cs="仿宋_GB2312"/>
          <w:sz w:val="32"/>
          <w:szCs w:val="32"/>
        </w:rPr>
        <w:t>（http://www.baode.gov.cn）“政府信息公开－公开年报”栏目下载。</w:t>
      </w:r>
    </w:p>
    <w:p>
      <w:pPr>
        <w:pStyle w:val="4"/>
        <w:widowControl/>
        <w:tabs>
          <w:tab w:val="left" w:pos="616"/>
        </w:tabs>
        <w:adjustRightInd w:val="0"/>
        <w:snapToGrid w:val="0"/>
        <w:spacing w:line="578"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ab/>
      </w:r>
      <w:r>
        <w:rPr>
          <w:rFonts w:hint="eastAsia" w:ascii="仿宋" w:hAnsi="仿宋" w:eastAsia="仿宋" w:cs="仿宋"/>
          <w:kern w:val="2"/>
          <w:sz w:val="32"/>
          <w:szCs w:val="32"/>
        </w:rPr>
        <w:t xml:space="preserve">                           </w:t>
      </w:r>
    </w:p>
    <w:p>
      <w:pPr>
        <w:pStyle w:val="4"/>
        <w:widowControl/>
        <w:tabs>
          <w:tab w:val="left" w:pos="616"/>
        </w:tabs>
        <w:adjustRightInd w:val="0"/>
        <w:snapToGrid w:val="0"/>
        <w:spacing w:line="578" w:lineRule="exact"/>
        <w:ind w:firstLine="5120" w:firstLineChars="1600"/>
        <w:jc w:val="both"/>
        <w:rPr>
          <w:rFonts w:hint="eastAsia" w:ascii="仿宋" w:hAnsi="仿宋" w:eastAsia="仿宋" w:cs="仿宋"/>
          <w:kern w:val="2"/>
          <w:sz w:val="32"/>
          <w:szCs w:val="32"/>
        </w:rPr>
      </w:pPr>
    </w:p>
    <w:p>
      <w:pPr>
        <w:pStyle w:val="4"/>
        <w:widowControl/>
        <w:tabs>
          <w:tab w:val="left" w:pos="616"/>
        </w:tabs>
        <w:adjustRightInd w:val="0"/>
        <w:snapToGrid w:val="0"/>
        <w:spacing w:line="578" w:lineRule="exact"/>
        <w:ind w:firstLine="6080" w:firstLineChars="1900"/>
        <w:jc w:val="both"/>
        <w:rPr>
          <w:rFonts w:ascii="仿宋" w:hAnsi="仿宋" w:eastAsia="仿宋" w:cs="仿宋"/>
          <w:kern w:val="2"/>
          <w:sz w:val="32"/>
          <w:szCs w:val="32"/>
        </w:rPr>
      </w:pPr>
      <w:r>
        <w:rPr>
          <w:rFonts w:hint="eastAsia" w:ascii="仿宋" w:hAnsi="仿宋" w:eastAsia="仿宋" w:cs="仿宋"/>
          <w:kern w:val="2"/>
          <w:sz w:val="32"/>
          <w:szCs w:val="32"/>
        </w:rPr>
        <w:t>保德县人民政府</w:t>
      </w:r>
    </w:p>
    <w:p>
      <w:pPr>
        <w:adjustRightInd w:val="0"/>
        <w:snapToGrid w:val="0"/>
        <w:spacing w:line="578" w:lineRule="exact"/>
        <w:ind w:firstLine="6080" w:firstLineChars="1900"/>
        <w:rPr>
          <w:rFonts w:ascii="方正小标宋简体" w:hAnsi="华文中宋" w:eastAsia="方正小标宋简体"/>
          <w:sz w:val="44"/>
          <w:szCs w:val="44"/>
        </w:rPr>
      </w:pPr>
      <w:bookmarkStart w:id="0" w:name="_GoBack"/>
      <w:bookmarkEnd w:id="0"/>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p>
    <w:sectPr>
      <w:footerReference r:id="rId3" w:type="default"/>
      <w:pgSz w:w="11906" w:h="16838"/>
      <w:pgMar w:top="2098" w:right="1587"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DB5C7A-F039-4F08-A1DB-5F5277F752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47687AE-948A-4D40-93AE-E42E0692A800}"/>
  </w:font>
  <w:font w:name="方正小标宋简体">
    <w:panose1 w:val="03000509000000000000"/>
    <w:charset w:val="86"/>
    <w:family w:val="auto"/>
    <w:pitch w:val="default"/>
    <w:sig w:usb0="00000001" w:usb1="080E0000" w:usb2="00000000" w:usb3="00000000" w:csb0="00040000" w:csb1="00000000"/>
    <w:embedRegular r:id="rId3" w:fontKey="{2FED2BD3-B9E4-497C-A0A5-FDE87333DF1F}"/>
  </w:font>
  <w:font w:name="华文中宋">
    <w:panose1 w:val="02010600040101010101"/>
    <w:charset w:val="86"/>
    <w:family w:val="auto"/>
    <w:pitch w:val="default"/>
    <w:sig w:usb0="00000287" w:usb1="080F0000" w:usb2="00000000" w:usb3="00000000" w:csb0="0004009F" w:csb1="DFD70000"/>
    <w:embedRegular r:id="rId4" w:fontKey="{05C9034F-0E44-4831-AFDE-E366856FAE1F}"/>
  </w:font>
  <w:font w:name="仿宋">
    <w:panose1 w:val="02010609060101010101"/>
    <w:charset w:val="86"/>
    <w:family w:val="modern"/>
    <w:pitch w:val="default"/>
    <w:sig w:usb0="800002BF" w:usb1="38CF7CFA" w:usb2="00000016" w:usb3="00000000" w:csb0="00040001" w:csb1="00000000"/>
    <w:embedRegular r:id="rId5" w:fontKey="{E781B228-DB49-429A-816B-E0CFE604CC8A}"/>
  </w:font>
  <w:font w:name="仿宋_GB2312">
    <w:panose1 w:val="02010609030101010101"/>
    <w:charset w:val="86"/>
    <w:family w:val="auto"/>
    <w:pitch w:val="default"/>
    <w:sig w:usb0="00000001" w:usb1="080E0000" w:usb2="00000000" w:usb3="00000000" w:csb0="00040000" w:csb1="00000000"/>
    <w:embedRegular r:id="rId6" w:fontKey="{2516A21D-F5C2-4762-BC68-7DFF837D8654}"/>
  </w:font>
  <w:font w:name="楷体">
    <w:panose1 w:val="02010609060101010101"/>
    <w:charset w:val="86"/>
    <w:family w:val="modern"/>
    <w:pitch w:val="default"/>
    <w:sig w:usb0="800002BF" w:usb1="38CF7CFA" w:usb2="00000016" w:usb3="00000000" w:csb0="00040001" w:csb1="00000000"/>
    <w:embedRegular r:id="rId7" w:fontKey="{49CE295D-0B47-4CCC-B6D6-B1FA4B8B9D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ind w:firstLine="28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7BE1"/>
    <w:multiLevelType w:val="singleLevel"/>
    <w:tmpl w:val="11447BE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ZDI2MTVmZTFmYzgzZmI2MjQxMzlmMWJlYjk3YTIifQ=="/>
  </w:docVars>
  <w:rsids>
    <w:rsidRoot w:val="000142E3"/>
    <w:rsid w:val="000142E3"/>
    <w:rsid w:val="000A2C1B"/>
    <w:rsid w:val="00163418"/>
    <w:rsid w:val="0020456C"/>
    <w:rsid w:val="005A6E4E"/>
    <w:rsid w:val="011B5CE5"/>
    <w:rsid w:val="02641C78"/>
    <w:rsid w:val="02DD46DF"/>
    <w:rsid w:val="04E24056"/>
    <w:rsid w:val="05033509"/>
    <w:rsid w:val="062F259D"/>
    <w:rsid w:val="070923E2"/>
    <w:rsid w:val="07691ADF"/>
    <w:rsid w:val="07F30435"/>
    <w:rsid w:val="07F375F9"/>
    <w:rsid w:val="0837398B"/>
    <w:rsid w:val="0909610C"/>
    <w:rsid w:val="09232D36"/>
    <w:rsid w:val="0A3714AA"/>
    <w:rsid w:val="0A6625DA"/>
    <w:rsid w:val="0A90671C"/>
    <w:rsid w:val="0B674E47"/>
    <w:rsid w:val="0BCF0CDC"/>
    <w:rsid w:val="0C087B18"/>
    <w:rsid w:val="0D2E0245"/>
    <w:rsid w:val="0E2D042A"/>
    <w:rsid w:val="0F0E7B3C"/>
    <w:rsid w:val="0F205179"/>
    <w:rsid w:val="0FE31AB2"/>
    <w:rsid w:val="11071B7C"/>
    <w:rsid w:val="11FB50D2"/>
    <w:rsid w:val="125B062A"/>
    <w:rsid w:val="12D20E80"/>
    <w:rsid w:val="16DE27F5"/>
    <w:rsid w:val="189578BF"/>
    <w:rsid w:val="19190873"/>
    <w:rsid w:val="194347E8"/>
    <w:rsid w:val="19540841"/>
    <w:rsid w:val="19670574"/>
    <w:rsid w:val="19D325D7"/>
    <w:rsid w:val="19ED659F"/>
    <w:rsid w:val="1C8C20A0"/>
    <w:rsid w:val="1CD50A96"/>
    <w:rsid w:val="1E6F4013"/>
    <w:rsid w:val="1EDF295B"/>
    <w:rsid w:val="20615779"/>
    <w:rsid w:val="20E80637"/>
    <w:rsid w:val="212E1977"/>
    <w:rsid w:val="21C21686"/>
    <w:rsid w:val="22156116"/>
    <w:rsid w:val="223D5D8E"/>
    <w:rsid w:val="22500AD4"/>
    <w:rsid w:val="22941CAE"/>
    <w:rsid w:val="2337351D"/>
    <w:rsid w:val="23E828F4"/>
    <w:rsid w:val="24374FE7"/>
    <w:rsid w:val="24765B0F"/>
    <w:rsid w:val="24B85BE3"/>
    <w:rsid w:val="258116F6"/>
    <w:rsid w:val="25C74149"/>
    <w:rsid w:val="260571DD"/>
    <w:rsid w:val="26316A6A"/>
    <w:rsid w:val="26FD2518"/>
    <w:rsid w:val="2759379F"/>
    <w:rsid w:val="277D1BDC"/>
    <w:rsid w:val="279B3E47"/>
    <w:rsid w:val="279E3A66"/>
    <w:rsid w:val="28336333"/>
    <w:rsid w:val="288E0F4E"/>
    <w:rsid w:val="28D46B25"/>
    <w:rsid w:val="29226266"/>
    <w:rsid w:val="2A5A1A2F"/>
    <w:rsid w:val="2B0D0850"/>
    <w:rsid w:val="2B6A5685"/>
    <w:rsid w:val="2B76654E"/>
    <w:rsid w:val="2D104627"/>
    <w:rsid w:val="2D3E6C56"/>
    <w:rsid w:val="2D87493E"/>
    <w:rsid w:val="2D8D7A26"/>
    <w:rsid w:val="2EBB7819"/>
    <w:rsid w:val="2F1877C3"/>
    <w:rsid w:val="2F4A2072"/>
    <w:rsid w:val="2FA63021"/>
    <w:rsid w:val="3172765E"/>
    <w:rsid w:val="31C3610C"/>
    <w:rsid w:val="31D04385"/>
    <w:rsid w:val="32CF7C0B"/>
    <w:rsid w:val="34910AB6"/>
    <w:rsid w:val="34B34216"/>
    <w:rsid w:val="34EB7E53"/>
    <w:rsid w:val="35442238"/>
    <w:rsid w:val="37487764"/>
    <w:rsid w:val="37760E66"/>
    <w:rsid w:val="37F012DD"/>
    <w:rsid w:val="38F804E1"/>
    <w:rsid w:val="3EE020AB"/>
    <w:rsid w:val="3FD70064"/>
    <w:rsid w:val="40112738"/>
    <w:rsid w:val="406D2E13"/>
    <w:rsid w:val="4086576B"/>
    <w:rsid w:val="41E06866"/>
    <w:rsid w:val="420936C7"/>
    <w:rsid w:val="424A3A2F"/>
    <w:rsid w:val="42E15354"/>
    <w:rsid w:val="43143B70"/>
    <w:rsid w:val="43454A14"/>
    <w:rsid w:val="440305EA"/>
    <w:rsid w:val="443469F5"/>
    <w:rsid w:val="4508235C"/>
    <w:rsid w:val="46AF05B5"/>
    <w:rsid w:val="46FC37FA"/>
    <w:rsid w:val="47702787"/>
    <w:rsid w:val="47F6285C"/>
    <w:rsid w:val="487E6050"/>
    <w:rsid w:val="4974488F"/>
    <w:rsid w:val="49DE18DD"/>
    <w:rsid w:val="49F80438"/>
    <w:rsid w:val="4B2C52DE"/>
    <w:rsid w:val="4BA33C6C"/>
    <w:rsid w:val="4C175F36"/>
    <w:rsid w:val="4C177328"/>
    <w:rsid w:val="4C483325"/>
    <w:rsid w:val="4CB37051"/>
    <w:rsid w:val="4D54079E"/>
    <w:rsid w:val="4D827372"/>
    <w:rsid w:val="4DE44FE8"/>
    <w:rsid w:val="4EF15C0F"/>
    <w:rsid w:val="4EFD45B3"/>
    <w:rsid w:val="4F28730E"/>
    <w:rsid w:val="503E6C32"/>
    <w:rsid w:val="50962F12"/>
    <w:rsid w:val="50C01AF9"/>
    <w:rsid w:val="51747D36"/>
    <w:rsid w:val="5184720E"/>
    <w:rsid w:val="51C76ED9"/>
    <w:rsid w:val="52004CD2"/>
    <w:rsid w:val="528B6030"/>
    <w:rsid w:val="534A5B96"/>
    <w:rsid w:val="54CB6F02"/>
    <w:rsid w:val="55CE2806"/>
    <w:rsid w:val="55DA1FB8"/>
    <w:rsid w:val="55E624CA"/>
    <w:rsid w:val="577E3905"/>
    <w:rsid w:val="578619F4"/>
    <w:rsid w:val="58331046"/>
    <w:rsid w:val="586815E6"/>
    <w:rsid w:val="58A43CF2"/>
    <w:rsid w:val="59657925"/>
    <w:rsid w:val="5A93401E"/>
    <w:rsid w:val="5B5A5830"/>
    <w:rsid w:val="5B5F299F"/>
    <w:rsid w:val="5BA04A6D"/>
    <w:rsid w:val="5BD2296D"/>
    <w:rsid w:val="5C4F710D"/>
    <w:rsid w:val="5E2751A9"/>
    <w:rsid w:val="5E483929"/>
    <w:rsid w:val="5EA54320"/>
    <w:rsid w:val="5F4C0C3F"/>
    <w:rsid w:val="60556985"/>
    <w:rsid w:val="61062DD2"/>
    <w:rsid w:val="61B76123"/>
    <w:rsid w:val="61C85308"/>
    <w:rsid w:val="624327CD"/>
    <w:rsid w:val="63B4505D"/>
    <w:rsid w:val="63FF7953"/>
    <w:rsid w:val="645074AA"/>
    <w:rsid w:val="652F2B95"/>
    <w:rsid w:val="65F8742B"/>
    <w:rsid w:val="65FC5A21"/>
    <w:rsid w:val="6646244C"/>
    <w:rsid w:val="66807235"/>
    <w:rsid w:val="675D1C3B"/>
    <w:rsid w:val="67E06A8E"/>
    <w:rsid w:val="67ED04CA"/>
    <w:rsid w:val="691B5D3C"/>
    <w:rsid w:val="6A325601"/>
    <w:rsid w:val="6A346B27"/>
    <w:rsid w:val="6A925EFF"/>
    <w:rsid w:val="6AB37DC4"/>
    <w:rsid w:val="6B282560"/>
    <w:rsid w:val="6B5C2AA2"/>
    <w:rsid w:val="6DAC09B5"/>
    <w:rsid w:val="6E004E86"/>
    <w:rsid w:val="6EF56BFD"/>
    <w:rsid w:val="716F2C97"/>
    <w:rsid w:val="71C67DE2"/>
    <w:rsid w:val="71CF3460"/>
    <w:rsid w:val="72640322"/>
    <w:rsid w:val="7325264E"/>
    <w:rsid w:val="74DC65CE"/>
    <w:rsid w:val="762D7FF3"/>
    <w:rsid w:val="77163BB5"/>
    <w:rsid w:val="774D1000"/>
    <w:rsid w:val="7771674F"/>
    <w:rsid w:val="781B57A8"/>
    <w:rsid w:val="786F17CF"/>
    <w:rsid w:val="788A4AFA"/>
    <w:rsid w:val="78B638A1"/>
    <w:rsid w:val="78C53AE4"/>
    <w:rsid w:val="790E2D96"/>
    <w:rsid w:val="797F0625"/>
    <w:rsid w:val="7A0A669B"/>
    <w:rsid w:val="7C80044E"/>
    <w:rsid w:val="7DCB394B"/>
    <w:rsid w:val="7EB0524D"/>
    <w:rsid w:val="7F45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0" w:firstLineChars="1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391</Words>
  <Characters>2234</Characters>
  <Lines>18</Lines>
  <Paragraphs>5</Paragraphs>
  <TotalTime>5</TotalTime>
  <ScaleCrop>false</ScaleCrop>
  <LinksUpToDate>false</LinksUpToDate>
  <CharactersWithSpaces>2620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2024-01-25T08:34:00Z</dcterms:created>
  <dc:creator>Administrator</dc:creator>
  <cp:lastModifiedBy>Administrator</cp:lastModifiedBy>
  <dcterms:modified xsi:type="dcterms:W3CDTF">2025-02-20T03:40:03Z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y fmtid="{D5CDD505-2E9C-101B-9397-08002B2CF9AE}" pid="3" name="ICV">
    <vt:lpwstr>8B891E11A1E94132AC01E54EF12A79DA_13</vt:lpwstr>
  </property>
</Properties>
</file>