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FF" w:rsidRDefault="00460EC0" w:rsidP="00934678">
      <w:pPr>
        <w:jc w:val="center"/>
        <w:rPr>
          <w:rFonts w:ascii="仿宋" w:eastAsia="仿宋" w:hAnsi="仿宋"/>
          <w:sz w:val="32"/>
          <w:szCs w:val="32"/>
        </w:rPr>
      </w:pPr>
      <w:r w:rsidRPr="00896239">
        <w:rPr>
          <w:rFonts w:ascii="仿宋" w:eastAsia="仿宋" w:hAnsi="仿宋" w:hint="eastAsia"/>
          <w:sz w:val="44"/>
          <w:szCs w:val="44"/>
        </w:rPr>
        <w:t>保德县行政审批服务管理局</w:t>
      </w:r>
      <w:r w:rsidR="00A232F8" w:rsidRPr="00A232F8">
        <w:rPr>
          <w:rFonts w:ascii="仿宋" w:eastAsia="仿宋" w:hAnsi="仿宋" w:hint="eastAsia"/>
          <w:sz w:val="44"/>
          <w:szCs w:val="44"/>
        </w:rPr>
        <w:t>拟对建设项目环境影响评价文件作出审批意见的公示</w:t>
      </w:r>
    </w:p>
    <w:tbl>
      <w:tblPr>
        <w:tblStyle w:val="a4"/>
        <w:tblW w:w="11483" w:type="dxa"/>
        <w:tblInd w:w="-318" w:type="dxa"/>
        <w:tblLook w:val="04A0"/>
      </w:tblPr>
      <w:tblGrid>
        <w:gridCol w:w="520"/>
        <w:gridCol w:w="576"/>
        <w:gridCol w:w="513"/>
        <w:gridCol w:w="681"/>
        <w:gridCol w:w="1822"/>
        <w:gridCol w:w="5812"/>
        <w:gridCol w:w="1559"/>
      </w:tblGrid>
      <w:tr w:rsidR="0025061E" w:rsidRPr="00352C44" w:rsidTr="00B56605">
        <w:trPr>
          <w:trHeight w:val="1715"/>
        </w:trPr>
        <w:tc>
          <w:tcPr>
            <w:tcW w:w="520" w:type="dxa"/>
            <w:vAlign w:val="center"/>
          </w:tcPr>
          <w:p w:rsidR="0025061E" w:rsidRPr="00352C44" w:rsidRDefault="0025061E" w:rsidP="008A19F7">
            <w:pPr>
              <w:widowControl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项目名称</w:t>
            </w:r>
          </w:p>
        </w:tc>
        <w:tc>
          <w:tcPr>
            <w:tcW w:w="576" w:type="dxa"/>
            <w:vAlign w:val="center"/>
          </w:tcPr>
          <w:p w:rsidR="0025061E" w:rsidRPr="00352C44" w:rsidRDefault="0025061E" w:rsidP="008A19F7">
            <w:pPr>
              <w:widowControl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建设地点</w:t>
            </w:r>
          </w:p>
        </w:tc>
        <w:tc>
          <w:tcPr>
            <w:tcW w:w="513" w:type="dxa"/>
            <w:vAlign w:val="center"/>
          </w:tcPr>
          <w:p w:rsidR="0025061E" w:rsidRPr="00352C44" w:rsidRDefault="0025061E" w:rsidP="008A19F7">
            <w:pPr>
              <w:widowControl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建设单位</w:t>
            </w:r>
          </w:p>
        </w:tc>
        <w:tc>
          <w:tcPr>
            <w:tcW w:w="681" w:type="dxa"/>
            <w:vAlign w:val="center"/>
          </w:tcPr>
          <w:p w:rsidR="0025061E" w:rsidRPr="00352C44" w:rsidRDefault="0025061E" w:rsidP="008A19F7">
            <w:pPr>
              <w:widowControl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环评编制单位</w:t>
            </w:r>
          </w:p>
        </w:tc>
        <w:tc>
          <w:tcPr>
            <w:tcW w:w="1822" w:type="dxa"/>
            <w:vAlign w:val="center"/>
          </w:tcPr>
          <w:p w:rsidR="0025061E" w:rsidRPr="00352C44" w:rsidRDefault="0025061E" w:rsidP="008A19F7">
            <w:pPr>
              <w:widowControl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建设项目概况</w:t>
            </w:r>
          </w:p>
        </w:tc>
        <w:tc>
          <w:tcPr>
            <w:tcW w:w="5812" w:type="dxa"/>
            <w:vAlign w:val="center"/>
          </w:tcPr>
          <w:p w:rsidR="0025061E" w:rsidRPr="00352C44" w:rsidRDefault="0025061E" w:rsidP="008A19F7">
            <w:pPr>
              <w:widowControl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主要环境影响及预防或者减轻不良环境影响的对策和措施</w:t>
            </w:r>
          </w:p>
        </w:tc>
        <w:tc>
          <w:tcPr>
            <w:tcW w:w="1559" w:type="dxa"/>
          </w:tcPr>
          <w:p w:rsidR="0025061E" w:rsidRPr="00392D9C" w:rsidRDefault="0025061E" w:rsidP="00B56605">
            <w:pPr>
              <w:widowControl/>
              <w:jc w:val="center"/>
              <w:rPr>
                <w:rFonts w:ascii="仿宋" w:eastAsia="仿宋" w:hAnsi="仿宋"/>
                <w:sz w:val="18"/>
                <w:szCs w:val="32"/>
              </w:rPr>
            </w:pPr>
            <w:r w:rsidRPr="00392D9C">
              <w:rPr>
                <w:rFonts w:ascii="仿宋" w:eastAsia="仿宋" w:hAnsi="仿宋" w:hint="eastAsia"/>
                <w:sz w:val="18"/>
                <w:szCs w:val="32"/>
              </w:rPr>
              <w:t>建设单位开展的公众参与情况</w:t>
            </w:r>
          </w:p>
        </w:tc>
      </w:tr>
      <w:tr w:rsidR="0025061E" w:rsidRPr="00352C44" w:rsidTr="00B56605">
        <w:trPr>
          <w:trHeight w:val="11182"/>
        </w:trPr>
        <w:tc>
          <w:tcPr>
            <w:tcW w:w="520" w:type="dxa"/>
            <w:vAlign w:val="center"/>
          </w:tcPr>
          <w:p w:rsidR="0025061E" w:rsidRPr="00352C44" w:rsidRDefault="0025061E" w:rsidP="0018208A">
            <w:pPr>
              <w:widowControl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D44E61">
              <w:rPr>
                <w:rFonts w:ascii="仿宋" w:eastAsia="仿宋" w:hAnsi="仿宋"/>
                <w:sz w:val="24"/>
                <w:szCs w:val="32"/>
              </w:rPr>
              <w:t>保德县东庄墕提水泵站工程</w:t>
            </w:r>
          </w:p>
        </w:tc>
        <w:tc>
          <w:tcPr>
            <w:tcW w:w="576" w:type="dxa"/>
            <w:vAlign w:val="center"/>
          </w:tcPr>
          <w:p w:rsidR="0025061E" w:rsidRPr="00352C44" w:rsidRDefault="0025061E" w:rsidP="008A19F7">
            <w:pPr>
              <w:widowControl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D44E61">
              <w:rPr>
                <w:rFonts w:ascii="仿宋" w:eastAsia="仿宋" w:hAnsi="仿宋"/>
                <w:sz w:val="24"/>
                <w:szCs w:val="32"/>
              </w:rPr>
              <w:t>保德县南河沟乡东庄墕村南1km处</w:t>
            </w:r>
          </w:p>
        </w:tc>
        <w:tc>
          <w:tcPr>
            <w:tcW w:w="513" w:type="dxa"/>
            <w:vAlign w:val="center"/>
          </w:tcPr>
          <w:p w:rsidR="0025061E" w:rsidRPr="00352C44" w:rsidRDefault="0025061E" w:rsidP="008A19F7">
            <w:pPr>
              <w:widowControl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D44E61">
              <w:rPr>
                <w:rFonts w:ascii="仿宋" w:eastAsia="仿宋" w:hAnsi="仿宋"/>
                <w:sz w:val="24"/>
                <w:szCs w:val="32"/>
              </w:rPr>
              <w:t>保德县水利局</w:t>
            </w:r>
          </w:p>
        </w:tc>
        <w:tc>
          <w:tcPr>
            <w:tcW w:w="681" w:type="dxa"/>
            <w:vAlign w:val="center"/>
          </w:tcPr>
          <w:p w:rsidR="0025061E" w:rsidRPr="00D44E61" w:rsidRDefault="0025061E" w:rsidP="0011569A">
            <w:pPr>
              <w:widowControl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D44E61">
              <w:rPr>
                <w:rFonts w:ascii="仿宋" w:eastAsia="仿宋" w:hAnsi="仿宋" w:hint="eastAsia"/>
                <w:sz w:val="24"/>
                <w:szCs w:val="32"/>
              </w:rPr>
              <w:t>山西天驰达环保科技有限公司</w:t>
            </w:r>
          </w:p>
        </w:tc>
        <w:tc>
          <w:tcPr>
            <w:tcW w:w="1822" w:type="dxa"/>
            <w:vAlign w:val="center"/>
          </w:tcPr>
          <w:p w:rsidR="0025061E" w:rsidRPr="00352C44" w:rsidRDefault="0025061E" w:rsidP="00934678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D44E61">
              <w:rPr>
                <w:rFonts w:ascii="仿宋" w:eastAsia="仿宋" w:hAnsi="仿宋"/>
                <w:sz w:val="24"/>
                <w:szCs w:val="32"/>
              </w:rPr>
              <w:t>项目引黄水流量为0.894m</w:t>
            </w:r>
            <w:r w:rsidRPr="00E41B57">
              <w:rPr>
                <w:rFonts w:ascii="仿宋" w:eastAsia="仿宋" w:hAnsi="仿宋"/>
                <w:sz w:val="24"/>
                <w:szCs w:val="32"/>
                <w:vertAlign w:val="superscript"/>
              </w:rPr>
              <w:t>3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/s，引黄水量为2225万m</w:t>
            </w:r>
            <w:r w:rsidRPr="005251FB">
              <w:rPr>
                <w:rFonts w:ascii="仿宋" w:eastAsia="仿宋" w:hAnsi="仿宋"/>
                <w:sz w:val="24"/>
                <w:szCs w:val="32"/>
                <w:vertAlign w:val="superscript"/>
              </w:rPr>
              <w:t>3</w:t>
            </w:r>
            <w:r w:rsidR="00475448">
              <w:rPr>
                <w:rFonts w:ascii="仿宋" w:eastAsia="仿宋" w:hAnsi="仿宋"/>
                <w:sz w:val="24"/>
                <w:szCs w:val="32"/>
              </w:rPr>
              <w:t>。建设包括引水隧洞</w:t>
            </w:r>
            <w:r w:rsidR="00475448">
              <w:rPr>
                <w:rFonts w:ascii="仿宋" w:eastAsia="仿宋" w:hAnsi="仿宋" w:hint="eastAsia"/>
                <w:sz w:val="24"/>
                <w:szCs w:val="32"/>
              </w:rPr>
              <w:t>、</w:t>
            </w:r>
            <w:r w:rsidR="00475448">
              <w:rPr>
                <w:rFonts w:ascii="仿宋" w:eastAsia="仿宋" w:hAnsi="仿宋"/>
                <w:sz w:val="24"/>
                <w:szCs w:val="32"/>
              </w:rPr>
              <w:t>进水廊道</w:t>
            </w:r>
            <w:r w:rsidR="00475448">
              <w:rPr>
                <w:rFonts w:ascii="仿宋" w:eastAsia="仿宋" w:hAnsi="仿宋" w:hint="eastAsia"/>
                <w:sz w:val="24"/>
                <w:szCs w:val="32"/>
              </w:rPr>
              <w:t>、</w:t>
            </w:r>
            <w:r w:rsidR="00475448">
              <w:rPr>
                <w:rFonts w:ascii="仿宋" w:eastAsia="仿宋" w:hAnsi="仿宋"/>
                <w:sz w:val="24"/>
                <w:szCs w:val="32"/>
              </w:rPr>
              <w:t>竖井</w:t>
            </w:r>
            <w:r w:rsidR="00475448">
              <w:rPr>
                <w:rFonts w:ascii="仿宋" w:eastAsia="仿宋" w:hAnsi="仿宋" w:hint="eastAsia"/>
                <w:sz w:val="24"/>
                <w:szCs w:val="32"/>
              </w:rPr>
              <w:t>、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泵站及入库渠道几部分。引水隧洞取水口布置在引黄总干2#隧洞11#施工支洞末端的平直段，末端与进水廊道相接，全长313m；进水廊道为钢筋混凝土衬砌结构，长27m，衬砌厚度为600mm；4眼竖井间距7m，竖井深156m；泵站布置在李家湾调蓄水库环库公路一侧，场地高程1172.5m；入库渠道长172m，采用钢筋混凝土结构。项目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总投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资11753.01万元</w:t>
            </w:r>
            <w:r w:rsidR="004047E2">
              <w:rPr>
                <w:rFonts w:ascii="仿宋" w:eastAsia="仿宋" w:hAnsi="仿宋" w:hint="eastAsia"/>
                <w:sz w:val="24"/>
                <w:szCs w:val="32"/>
              </w:rPr>
              <w:t>，</w:t>
            </w:r>
            <w:r w:rsidR="004047E2" w:rsidRPr="004047E2">
              <w:rPr>
                <w:rFonts w:ascii="仿宋" w:eastAsia="仿宋" w:hAnsi="仿宋"/>
                <w:sz w:val="24"/>
                <w:szCs w:val="32"/>
              </w:rPr>
              <w:t>环保投资156万</w:t>
            </w:r>
            <w:r w:rsidR="004047E2" w:rsidRPr="004047E2">
              <w:rPr>
                <w:rFonts w:ascii="仿宋" w:eastAsia="仿宋" w:hAnsi="仿宋" w:hint="eastAsia"/>
                <w:sz w:val="24"/>
                <w:szCs w:val="32"/>
              </w:rPr>
              <w:t>元。</w:t>
            </w:r>
          </w:p>
        </w:tc>
        <w:tc>
          <w:tcPr>
            <w:tcW w:w="5812" w:type="dxa"/>
            <w:vAlign w:val="center"/>
          </w:tcPr>
          <w:p w:rsidR="0025061E" w:rsidRPr="00352C44" w:rsidRDefault="0025061E" w:rsidP="00934678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建设项目可能对环境造成的主要影响：</w:t>
            </w:r>
          </w:p>
          <w:p w:rsidR="0025061E" w:rsidRPr="00352C44" w:rsidRDefault="0025061E" w:rsidP="00934678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1.严格落实施工期环境保护工作，加强环境管理。严格落实《报告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书</w:t>
            </w:r>
            <w:r w:rsidRPr="00352C44">
              <w:rPr>
                <w:rFonts w:ascii="仿宋" w:eastAsia="仿宋" w:hAnsi="仿宋" w:hint="eastAsia"/>
                <w:sz w:val="24"/>
                <w:szCs w:val="32"/>
              </w:rPr>
              <w:t>》提出的施工期废气、废水、噪声、固废等污染防治措施，降低对周边环境的影响。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施工期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确保做到“六个百分之百”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要求；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在施工场地设置一座5m</w:t>
            </w:r>
            <w:r w:rsidRPr="00475448">
              <w:rPr>
                <w:rFonts w:ascii="仿宋" w:eastAsia="仿宋" w:hAnsi="仿宋"/>
                <w:sz w:val="24"/>
                <w:szCs w:val="32"/>
                <w:vertAlign w:val="superscript"/>
              </w:rPr>
              <w:t>3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的沉淀池，同时在2个施工营地进出口各设置1套冲洗水处理系统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，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洗车平台下方设一座三级沉淀池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，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食堂废水和生活污水采取生活污水一体化处理成套设备进行处理，严禁外排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，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施工现场设置有4座移动式环保厕所，定期清掏外运，废水不外排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；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合理安排施工时间，尽量避免高噪声设备同时作业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，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施工设备选型上应尽量采用低噪声设备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，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尽量减少夜间运输量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，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合理安排运输路线，减少途经村庄的次数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；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弃土用于场地地面及运输道路的平整，不能回填的送弃渣场处理。对建筑垃圾要进行分类收集，生活垃圾统一收集送至环卫部门指点地点</w:t>
            </w:r>
            <w:r w:rsidRPr="00D44E61">
              <w:rPr>
                <w:rFonts w:ascii="仿宋" w:eastAsia="仿宋" w:hAnsi="仿宋" w:hint="eastAsia"/>
                <w:sz w:val="24"/>
                <w:szCs w:val="32"/>
              </w:rPr>
              <w:t>。</w:t>
            </w:r>
          </w:p>
          <w:p w:rsidR="0025061E" w:rsidRDefault="0025061E" w:rsidP="00934678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2.严格落实运营期污废水污染防治措施。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生活污水采用一体化污水处理设施，处理工艺为“格栅+沉淀+厌氧+好氧+消毒”，污水排放系数按0.8计，排放量为0.28m</w:t>
            </w:r>
            <w:r w:rsidRPr="00D44E61">
              <w:rPr>
                <w:rFonts w:ascii="仿宋" w:eastAsia="仿宋" w:hAnsi="仿宋"/>
                <w:sz w:val="24"/>
                <w:szCs w:val="32"/>
                <w:vertAlign w:val="superscript"/>
              </w:rPr>
              <w:t>3</w:t>
            </w:r>
            <w:r w:rsidRPr="00D44E61">
              <w:rPr>
                <w:rFonts w:ascii="仿宋" w:eastAsia="仿宋" w:hAnsi="仿宋"/>
                <w:sz w:val="24"/>
                <w:szCs w:val="32"/>
              </w:rPr>
              <w:t>/d，处理后的废水回用于泵站绿化或抑尘洒水，不外排。</w:t>
            </w:r>
          </w:p>
          <w:p w:rsidR="0025061E" w:rsidRDefault="0025061E" w:rsidP="00934678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3.严格落实运营期噪声污染控制措施。</w:t>
            </w:r>
            <w:r w:rsidRPr="001A6B37">
              <w:rPr>
                <w:rFonts w:ascii="仿宋" w:eastAsia="仿宋" w:hAnsi="仿宋"/>
                <w:sz w:val="24"/>
                <w:szCs w:val="32"/>
              </w:rPr>
              <w:t>工程选购设备时优先采用低噪声设备，经基础减振和建筑隔音处理后，满足《工业企业厂界环境噪声排放标准》（GB12348-2008）中1类标准限值</w:t>
            </w:r>
            <w:r w:rsidRPr="001A6B37">
              <w:rPr>
                <w:rFonts w:ascii="仿宋" w:eastAsia="仿宋" w:hAnsi="仿宋" w:hint="eastAsia"/>
                <w:sz w:val="24"/>
                <w:szCs w:val="32"/>
              </w:rPr>
              <w:t>。</w:t>
            </w:r>
          </w:p>
          <w:p w:rsidR="0025061E" w:rsidRPr="00352C44" w:rsidRDefault="0025061E" w:rsidP="00934678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4.严格落实运营期固废处置措施。</w:t>
            </w:r>
            <w:r w:rsidRPr="0025061E">
              <w:rPr>
                <w:rFonts w:ascii="仿宋" w:eastAsia="仿宋" w:hAnsi="仿宋"/>
                <w:sz w:val="24"/>
                <w:szCs w:val="32"/>
              </w:rPr>
              <w:t>生活垃圾经收集后送环卫部门指定地点进行处置。</w:t>
            </w:r>
          </w:p>
          <w:p w:rsidR="0025061E" w:rsidRDefault="0025061E" w:rsidP="00934678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5.</w:t>
            </w:r>
            <w:r w:rsidRPr="0025061E">
              <w:rPr>
                <w:rFonts w:ascii="仿宋" w:eastAsia="仿宋" w:hAnsi="仿宋" w:hint="eastAsia"/>
                <w:sz w:val="24"/>
                <w:szCs w:val="32"/>
              </w:rPr>
              <w:t>严格落实生态保护措施。</w:t>
            </w:r>
            <w:r w:rsidRPr="0025061E">
              <w:rPr>
                <w:rFonts w:ascii="仿宋" w:eastAsia="仿宋" w:hAnsi="仿宋"/>
                <w:sz w:val="24"/>
                <w:szCs w:val="32"/>
              </w:rPr>
              <w:t>在泵站四周进行绿化，绿化以乔木绿化为主，乔、灌、草配置合</w:t>
            </w:r>
            <w:r>
              <w:rPr>
                <w:rFonts w:ascii="仿宋" w:eastAsia="仿宋" w:hAnsi="仿宋"/>
                <w:sz w:val="24"/>
                <w:szCs w:val="32"/>
              </w:rPr>
              <w:t>理，形成较完整的景观面貌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。</w:t>
            </w:r>
          </w:p>
          <w:p w:rsidR="0025061E" w:rsidRPr="00352C44" w:rsidRDefault="0025061E" w:rsidP="00934678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352C44">
              <w:rPr>
                <w:rFonts w:ascii="仿宋" w:eastAsia="仿宋" w:hAnsi="仿宋" w:hint="eastAsia"/>
                <w:sz w:val="24"/>
                <w:szCs w:val="32"/>
              </w:rPr>
              <w:t>6</w:t>
            </w:r>
            <w:r w:rsidR="00BC123C">
              <w:rPr>
                <w:rFonts w:ascii="仿宋" w:eastAsia="仿宋" w:hAnsi="仿宋" w:hint="eastAsia"/>
                <w:sz w:val="24"/>
                <w:szCs w:val="32"/>
              </w:rPr>
              <w:t>.</w:t>
            </w:r>
            <w:r w:rsidRPr="0025061E">
              <w:rPr>
                <w:rFonts w:ascii="仿宋" w:eastAsia="仿宋" w:hAnsi="仿宋" w:hint="eastAsia"/>
                <w:sz w:val="24"/>
                <w:szCs w:val="32"/>
              </w:rPr>
              <w:t>严格落实</w:t>
            </w:r>
            <w:r w:rsidRPr="00BC123C">
              <w:rPr>
                <w:rFonts w:ascii="仿宋" w:eastAsia="仿宋" w:hAnsi="仿宋"/>
                <w:sz w:val="24"/>
                <w:szCs w:val="32"/>
              </w:rPr>
              <w:t>风险防范措施</w:t>
            </w:r>
            <w:r w:rsidR="00BC123C" w:rsidRPr="00BC123C">
              <w:rPr>
                <w:rFonts w:ascii="仿宋" w:eastAsia="仿宋" w:hAnsi="仿宋" w:hint="eastAsia"/>
                <w:sz w:val="24"/>
                <w:szCs w:val="32"/>
              </w:rPr>
              <w:t>。</w:t>
            </w:r>
            <w:r w:rsidR="00BC123C">
              <w:rPr>
                <w:rFonts w:ascii="仿宋" w:eastAsia="仿宋" w:hAnsi="仿宋" w:hint="eastAsia"/>
                <w:sz w:val="24"/>
                <w:szCs w:val="32"/>
              </w:rPr>
              <w:t>针对</w:t>
            </w:r>
            <w:r w:rsidR="00BC123C" w:rsidRPr="00BC123C">
              <w:rPr>
                <w:rFonts w:ascii="仿宋" w:eastAsia="仿宋" w:hAnsi="仿宋"/>
                <w:sz w:val="24"/>
                <w:szCs w:val="32"/>
              </w:rPr>
              <w:t>可</w:t>
            </w:r>
            <w:r w:rsidR="00502E35">
              <w:rPr>
                <w:rFonts w:ascii="仿宋" w:eastAsia="仿宋" w:hAnsi="仿宋"/>
                <w:sz w:val="24"/>
                <w:szCs w:val="32"/>
              </w:rPr>
              <w:t>能产生的风险事故</w:t>
            </w:r>
            <w:r w:rsidR="00502E35">
              <w:rPr>
                <w:rFonts w:ascii="仿宋" w:eastAsia="仿宋" w:hAnsi="仿宋" w:hint="eastAsia"/>
                <w:sz w:val="24"/>
                <w:szCs w:val="32"/>
              </w:rPr>
              <w:t>，制定</w:t>
            </w:r>
            <w:r w:rsidR="00BC123C" w:rsidRPr="00BC123C">
              <w:rPr>
                <w:rFonts w:ascii="仿宋" w:eastAsia="仿宋" w:hAnsi="仿宋"/>
                <w:sz w:val="24"/>
                <w:szCs w:val="32"/>
              </w:rPr>
              <w:t>具有针对性的风</w:t>
            </w:r>
            <w:r w:rsidR="00502E35">
              <w:rPr>
                <w:rFonts w:ascii="仿宋" w:eastAsia="仿宋" w:hAnsi="仿宋"/>
                <w:sz w:val="24"/>
                <w:szCs w:val="32"/>
              </w:rPr>
              <w:t>险防范措施，</w:t>
            </w:r>
            <w:r w:rsidR="00502E35">
              <w:rPr>
                <w:rFonts w:ascii="仿宋" w:eastAsia="仿宋" w:hAnsi="仿宋" w:hint="eastAsia"/>
                <w:sz w:val="24"/>
                <w:szCs w:val="32"/>
              </w:rPr>
              <w:t>并</w:t>
            </w:r>
            <w:r w:rsidR="00502E35">
              <w:rPr>
                <w:rFonts w:ascii="仿宋" w:eastAsia="仿宋" w:hAnsi="仿宋"/>
                <w:sz w:val="24"/>
                <w:szCs w:val="32"/>
              </w:rPr>
              <w:t>根据有关规定制定</w:t>
            </w:r>
            <w:r w:rsidR="00BC123C" w:rsidRPr="00BC123C">
              <w:rPr>
                <w:rFonts w:ascii="仿宋" w:eastAsia="仿宋" w:hAnsi="仿宋"/>
                <w:sz w:val="24"/>
                <w:szCs w:val="32"/>
              </w:rPr>
              <w:t>企业的环境突发事件应急救援预案。当出现事故时，</w:t>
            </w:r>
            <w:r w:rsidR="00DF2407">
              <w:rPr>
                <w:rFonts w:ascii="仿宋" w:eastAsia="仿宋" w:hAnsi="仿宋"/>
                <w:sz w:val="24"/>
                <w:szCs w:val="32"/>
              </w:rPr>
              <w:t>采取紧急的工程应急措施，能够有效控制事故风险</w:t>
            </w:r>
            <w:r w:rsidR="00DF2407">
              <w:rPr>
                <w:rFonts w:ascii="仿宋" w:eastAsia="仿宋" w:hAnsi="仿宋" w:hint="eastAsia"/>
                <w:sz w:val="24"/>
                <w:szCs w:val="32"/>
              </w:rPr>
              <w:t>。</w:t>
            </w:r>
          </w:p>
        </w:tc>
        <w:tc>
          <w:tcPr>
            <w:tcW w:w="1559" w:type="dxa"/>
          </w:tcPr>
          <w:p w:rsidR="0025061E" w:rsidRPr="00352C44" w:rsidRDefault="0025061E" w:rsidP="00934678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392D9C">
              <w:rPr>
                <w:rFonts w:ascii="仿宋" w:eastAsia="仿宋" w:hAnsi="仿宋" w:hint="eastAsia"/>
                <w:sz w:val="18"/>
                <w:szCs w:val="32"/>
              </w:rPr>
              <w:t>首次公示采取网络公告的形式，公示时间为</w:t>
            </w:r>
            <w:r w:rsidRPr="00392D9C">
              <w:rPr>
                <w:rFonts w:ascii="仿宋" w:eastAsia="仿宋" w:hAnsi="仿宋"/>
                <w:sz w:val="18"/>
                <w:szCs w:val="32"/>
              </w:rPr>
              <w:t>2024年5月15日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；在报告书基本完成阶段进行了二次公示，建设单位采用网络、报纸、张贴公告的形式对项目环境影响报告书进行了公示，网络公示时间为2024年</w:t>
            </w:r>
            <w:r w:rsidR="00126C43">
              <w:rPr>
                <w:rFonts w:ascii="仿宋" w:eastAsia="仿宋" w:hAnsi="仿宋" w:hint="eastAsia"/>
                <w:sz w:val="18"/>
                <w:szCs w:val="32"/>
              </w:rPr>
              <w:t>8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月</w:t>
            </w:r>
            <w:r w:rsidR="00126C43">
              <w:rPr>
                <w:rFonts w:ascii="仿宋" w:eastAsia="仿宋" w:hAnsi="仿宋" w:hint="eastAsia"/>
                <w:sz w:val="18"/>
                <w:szCs w:val="32"/>
              </w:rPr>
              <w:t>5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日至2024年</w:t>
            </w:r>
            <w:r w:rsidR="00126C43">
              <w:rPr>
                <w:rFonts w:ascii="仿宋" w:eastAsia="仿宋" w:hAnsi="仿宋" w:hint="eastAsia"/>
                <w:sz w:val="18"/>
                <w:szCs w:val="32"/>
              </w:rPr>
              <w:t>8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月</w:t>
            </w:r>
            <w:r w:rsidR="00126C43">
              <w:rPr>
                <w:rFonts w:ascii="仿宋" w:eastAsia="仿宋" w:hAnsi="仿宋" w:hint="eastAsia"/>
                <w:sz w:val="18"/>
                <w:szCs w:val="32"/>
              </w:rPr>
              <w:t>16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日；报纸公示2024年</w:t>
            </w:r>
            <w:r w:rsidR="00126C43">
              <w:rPr>
                <w:rFonts w:ascii="仿宋" w:eastAsia="仿宋" w:hAnsi="仿宋" w:hint="eastAsia"/>
                <w:sz w:val="18"/>
                <w:szCs w:val="32"/>
              </w:rPr>
              <w:t>8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月</w:t>
            </w:r>
            <w:r w:rsidR="00126C43">
              <w:rPr>
                <w:rFonts w:ascii="仿宋" w:eastAsia="仿宋" w:hAnsi="仿宋" w:hint="eastAsia"/>
                <w:sz w:val="18"/>
                <w:szCs w:val="32"/>
              </w:rPr>
              <w:t>7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日和</w:t>
            </w:r>
            <w:r w:rsidR="00126C43">
              <w:rPr>
                <w:rFonts w:ascii="仿宋" w:eastAsia="仿宋" w:hAnsi="仿宋" w:hint="eastAsia"/>
                <w:sz w:val="18"/>
                <w:szCs w:val="32"/>
              </w:rPr>
              <w:t>8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月</w:t>
            </w:r>
            <w:r w:rsidR="00126C43">
              <w:rPr>
                <w:rFonts w:ascii="仿宋" w:eastAsia="仿宋" w:hAnsi="仿宋" w:hint="eastAsia"/>
                <w:sz w:val="18"/>
                <w:szCs w:val="32"/>
              </w:rPr>
              <w:t>8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日，同期进行了张贴公示；</w:t>
            </w:r>
            <w:r w:rsidR="001C3DF0">
              <w:rPr>
                <w:rFonts w:ascii="仿宋" w:eastAsia="仿宋" w:hAnsi="仿宋" w:hint="eastAsia"/>
                <w:sz w:val="18"/>
                <w:szCs w:val="32"/>
              </w:rPr>
              <w:t>2025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年</w:t>
            </w:r>
            <w:r w:rsidR="001C3DF0">
              <w:rPr>
                <w:rFonts w:ascii="仿宋" w:eastAsia="仿宋" w:hAnsi="仿宋" w:hint="eastAsia"/>
                <w:sz w:val="18"/>
                <w:szCs w:val="32"/>
              </w:rPr>
              <w:t>1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月</w:t>
            </w:r>
            <w:r w:rsidR="001C3DF0">
              <w:rPr>
                <w:rFonts w:ascii="仿宋" w:eastAsia="仿宋" w:hAnsi="仿宋" w:hint="eastAsia"/>
                <w:sz w:val="18"/>
                <w:szCs w:val="32"/>
              </w:rPr>
              <w:t>3</w:t>
            </w:r>
            <w:r w:rsidRPr="00392D9C">
              <w:rPr>
                <w:rFonts w:ascii="仿宋" w:eastAsia="仿宋" w:hAnsi="仿宋" w:hint="eastAsia"/>
                <w:sz w:val="18"/>
                <w:szCs w:val="32"/>
              </w:rPr>
              <w:t>日进行了报批前公示；公众提出意见的方式和途径：公众通过信函、传真、电子邮件或者其他方式，公众参与期间，未收到公众反对项目建设的意见。</w:t>
            </w:r>
          </w:p>
        </w:tc>
      </w:tr>
    </w:tbl>
    <w:tbl>
      <w:tblPr>
        <w:tblpPr w:leftFromText="180" w:rightFromText="180" w:horzAnchor="margin" w:tblpY="539"/>
        <w:tblW w:w="1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40"/>
      </w:tblGrid>
      <w:tr w:rsidR="00AB7720" w:rsidRPr="00792C74" w:rsidTr="00B56605">
        <w:tc>
          <w:tcPr>
            <w:tcW w:w="11140" w:type="dxa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AB7720" w:rsidRPr="00382C5C" w:rsidRDefault="00AB7720" w:rsidP="00C05950">
            <w:pPr>
              <w:widowControl/>
              <w:wordWrap w:val="0"/>
              <w:spacing w:before="42" w:after="42" w:line="480" w:lineRule="auto"/>
              <w:jc w:val="lef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382C5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lastRenderedPageBreak/>
              <w:t>听证权利告知：依据《中华人民共和国行政许可法》，自公示起五日内申请人、利害关系人可提出听证申请。</w:t>
            </w:r>
          </w:p>
        </w:tc>
      </w:tr>
      <w:tr w:rsidR="00AB7720" w:rsidRPr="00792C74" w:rsidTr="00B56605">
        <w:tc>
          <w:tcPr>
            <w:tcW w:w="11140" w:type="dxa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AB7720" w:rsidRPr="00382C5C" w:rsidRDefault="00AB7720" w:rsidP="00C05950">
            <w:pPr>
              <w:widowControl/>
              <w:wordWrap w:val="0"/>
              <w:spacing w:before="42" w:after="42" w:line="480" w:lineRule="auto"/>
              <w:jc w:val="lef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382C5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公众反馈意见联系电话：保德县行政审批服务管理局0350-7323270</w:t>
            </w:r>
          </w:p>
          <w:p w:rsidR="00AB7720" w:rsidRPr="00382C5C" w:rsidRDefault="00AB7720" w:rsidP="00C05950">
            <w:pPr>
              <w:widowControl/>
              <w:wordWrap w:val="0"/>
              <w:spacing w:before="42" w:after="42" w:line="480" w:lineRule="auto"/>
              <w:jc w:val="lef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382C5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电子邮箱：bdspjtzg@163.com</w:t>
            </w:r>
          </w:p>
        </w:tc>
      </w:tr>
      <w:tr w:rsidR="00AB7720" w:rsidRPr="00792C74" w:rsidTr="00B56605">
        <w:tc>
          <w:tcPr>
            <w:tcW w:w="11140" w:type="dxa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:rsidR="00AB7720" w:rsidRPr="00382C5C" w:rsidRDefault="00AB7720" w:rsidP="00986F96">
            <w:pPr>
              <w:widowControl/>
              <w:wordWrap w:val="0"/>
              <w:spacing w:before="42" w:after="42" w:line="480" w:lineRule="auto"/>
              <w:jc w:val="left"/>
              <w:rPr>
                <w:rFonts w:ascii="仿宋" w:eastAsia="仿宋" w:hAnsi="仿宋" w:cs="宋体"/>
                <w:kern w:val="0"/>
                <w:sz w:val="24"/>
                <w:szCs w:val="32"/>
              </w:rPr>
            </w:pPr>
            <w:r w:rsidRPr="00382C5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公示时间：</w:t>
            </w:r>
            <w:r w:rsidR="002F0C6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2025</w:t>
            </w:r>
            <w:r w:rsidRPr="00382C5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年</w:t>
            </w:r>
            <w:r w:rsidR="002F0C6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2</w:t>
            </w:r>
            <w:r w:rsidRPr="00382C5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月</w:t>
            </w:r>
            <w:r w:rsidR="00986F96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7</w:t>
            </w:r>
            <w:r w:rsidRPr="00382C5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日</w:t>
            </w:r>
            <w:r w:rsidR="002F0C6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-2025</w:t>
            </w:r>
            <w:r w:rsidRPr="00382C5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年</w:t>
            </w:r>
            <w:r w:rsidR="002F0C6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2</w:t>
            </w:r>
            <w:r w:rsidRPr="00382C5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月</w:t>
            </w:r>
            <w:r w:rsidR="00986F96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13</w:t>
            </w:r>
            <w:r w:rsidRPr="00382C5C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日</w:t>
            </w:r>
          </w:p>
        </w:tc>
      </w:tr>
    </w:tbl>
    <w:p w:rsidR="00460EC0" w:rsidRPr="0083290A" w:rsidRDefault="00460EC0" w:rsidP="00E3559B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460EC0" w:rsidRPr="0083290A" w:rsidSect="003F330B">
      <w:footerReference w:type="default" r:id="rId7"/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61C" w:rsidRDefault="0074261C" w:rsidP="0093243A">
      <w:r>
        <w:separator/>
      </w:r>
    </w:p>
  </w:endnote>
  <w:endnote w:type="continuationSeparator" w:id="1">
    <w:p w:rsidR="0074261C" w:rsidRDefault="0074261C" w:rsidP="0093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31" w:rsidRDefault="00492F01">
    <w:pPr>
      <w:pStyle w:val="a3"/>
      <w:jc w:val="right"/>
    </w:pPr>
    <w:r>
      <w:fldChar w:fldCharType="begin"/>
    </w:r>
    <w:r w:rsidR="00454787">
      <w:instrText>PAGE   \* MERGEFORMAT</w:instrText>
    </w:r>
    <w:r>
      <w:fldChar w:fldCharType="separate"/>
    </w:r>
    <w:r w:rsidR="00986F96" w:rsidRPr="00986F96">
      <w:rPr>
        <w:noProof/>
        <w:lang w:val="zh-CN"/>
      </w:rPr>
      <w:t>1</w:t>
    </w:r>
    <w:r>
      <w:fldChar w:fldCharType="end"/>
    </w:r>
  </w:p>
  <w:p w:rsidR="00844531" w:rsidRDefault="007426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61C" w:rsidRDefault="0074261C" w:rsidP="0093243A">
      <w:r>
        <w:separator/>
      </w:r>
    </w:p>
  </w:footnote>
  <w:footnote w:type="continuationSeparator" w:id="1">
    <w:p w:rsidR="0074261C" w:rsidRDefault="0074261C" w:rsidP="00932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254"/>
    <w:multiLevelType w:val="hybridMultilevel"/>
    <w:tmpl w:val="0714E4F4"/>
    <w:lvl w:ilvl="0" w:tplc="97DEBF28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F56496"/>
    <w:multiLevelType w:val="hybridMultilevel"/>
    <w:tmpl w:val="9C68D242"/>
    <w:lvl w:ilvl="0" w:tplc="7A908D48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38E0082"/>
    <w:multiLevelType w:val="hybridMultilevel"/>
    <w:tmpl w:val="02420BC8"/>
    <w:lvl w:ilvl="0" w:tplc="B30698EC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EC0"/>
    <w:rsid w:val="00051A97"/>
    <w:rsid w:val="00066176"/>
    <w:rsid w:val="00086E65"/>
    <w:rsid w:val="00096ACB"/>
    <w:rsid w:val="000A0EA1"/>
    <w:rsid w:val="000B5840"/>
    <w:rsid w:val="000F71C8"/>
    <w:rsid w:val="001120B8"/>
    <w:rsid w:val="0011569A"/>
    <w:rsid w:val="00115DA6"/>
    <w:rsid w:val="00126C43"/>
    <w:rsid w:val="00131B1B"/>
    <w:rsid w:val="001A6B37"/>
    <w:rsid w:val="001B09FF"/>
    <w:rsid w:val="001C3DF0"/>
    <w:rsid w:val="00237A9D"/>
    <w:rsid w:val="00237BB9"/>
    <w:rsid w:val="0025061E"/>
    <w:rsid w:val="002B10D0"/>
    <w:rsid w:val="002C583C"/>
    <w:rsid w:val="002D40E2"/>
    <w:rsid w:val="002F0C6C"/>
    <w:rsid w:val="0033213E"/>
    <w:rsid w:val="003347B2"/>
    <w:rsid w:val="00352C44"/>
    <w:rsid w:val="00383385"/>
    <w:rsid w:val="00392D9C"/>
    <w:rsid w:val="003A0510"/>
    <w:rsid w:val="003B5F02"/>
    <w:rsid w:val="003B6218"/>
    <w:rsid w:val="003C00DB"/>
    <w:rsid w:val="003C2866"/>
    <w:rsid w:val="003D13F9"/>
    <w:rsid w:val="003F330B"/>
    <w:rsid w:val="004047E2"/>
    <w:rsid w:val="00454787"/>
    <w:rsid w:val="00460BE1"/>
    <w:rsid w:val="00460EC0"/>
    <w:rsid w:val="00475448"/>
    <w:rsid w:val="00485CCB"/>
    <w:rsid w:val="00492F01"/>
    <w:rsid w:val="004C0868"/>
    <w:rsid w:val="004E16CA"/>
    <w:rsid w:val="00502E35"/>
    <w:rsid w:val="005251FB"/>
    <w:rsid w:val="005812F6"/>
    <w:rsid w:val="005D51D5"/>
    <w:rsid w:val="005F79A7"/>
    <w:rsid w:val="006252C8"/>
    <w:rsid w:val="00632CE9"/>
    <w:rsid w:val="00696D0B"/>
    <w:rsid w:val="0073049A"/>
    <w:rsid w:val="0074261C"/>
    <w:rsid w:val="00754D86"/>
    <w:rsid w:val="00797B27"/>
    <w:rsid w:val="0083290A"/>
    <w:rsid w:val="00894FB4"/>
    <w:rsid w:val="008A19F7"/>
    <w:rsid w:val="008C026B"/>
    <w:rsid w:val="008D2912"/>
    <w:rsid w:val="008D3075"/>
    <w:rsid w:val="008F19F4"/>
    <w:rsid w:val="0093243A"/>
    <w:rsid w:val="00934678"/>
    <w:rsid w:val="00986F96"/>
    <w:rsid w:val="00996991"/>
    <w:rsid w:val="00A232F8"/>
    <w:rsid w:val="00A32698"/>
    <w:rsid w:val="00A72DC5"/>
    <w:rsid w:val="00AB7720"/>
    <w:rsid w:val="00AD432D"/>
    <w:rsid w:val="00AE5B35"/>
    <w:rsid w:val="00AF52A0"/>
    <w:rsid w:val="00B478A6"/>
    <w:rsid w:val="00B56605"/>
    <w:rsid w:val="00B70567"/>
    <w:rsid w:val="00BB6C71"/>
    <w:rsid w:val="00BC123C"/>
    <w:rsid w:val="00BE47A1"/>
    <w:rsid w:val="00BF2C62"/>
    <w:rsid w:val="00C05950"/>
    <w:rsid w:val="00C17582"/>
    <w:rsid w:val="00C311D4"/>
    <w:rsid w:val="00CC0AF1"/>
    <w:rsid w:val="00CE7075"/>
    <w:rsid w:val="00D012B7"/>
    <w:rsid w:val="00D43821"/>
    <w:rsid w:val="00D44E61"/>
    <w:rsid w:val="00D61ECE"/>
    <w:rsid w:val="00D62531"/>
    <w:rsid w:val="00D712AD"/>
    <w:rsid w:val="00D8003D"/>
    <w:rsid w:val="00DE568F"/>
    <w:rsid w:val="00DF2407"/>
    <w:rsid w:val="00E127A0"/>
    <w:rsid w:val="00E138D3"/>
    <w:rsid w:val="00E15405"/>
    <w:rsid w:val="00E3559B"/>
    <w:rsid w:val="00E37806"/>
    <w:rsid w:val="00E41B57"/>
    <w:rsid w:val="00E63E29"/>
    <w:rsid w:val="00E80624"/>
    <w:rsid w:val="00ED5A82"/>
    <w:rsid w:val="00F35887"/>
    <w:rsid w:val="00F8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C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1B09F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6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0EC0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B09FF"/>
    <w:rPr>
      <w:rFonts w:ascii="宋体" w:eastAsia="宋体" w:hAnsi="宋体" w:cs="宋体"/>
      <w:b/>
      <w:bCs/>
      <w:kern w:val="0"/>
      <w:sz w:val="36"/>
      <w:szCs w:val="36"/>
    </w:rPr>
  </w:style>
  <w:style w:type="table" w:styleId="a4">
    <w:name w:val="Table Grid"/>
    <w:basedOn w:val="a1"/>
    <w:uiPriority w:val="59"/>
    <w:rsid w:val="001B09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标准正文"/>
    <w:basedOn w:val="a"/>
    <w:qFormat/>
    <w:rsid w:val="00AE5B35"/>
    <w:pPr>
      <w:spacing w:line="360" w:lineRule="auto"/>
      <w:ind w:firstLineChars="200" w:firstLine="200"/>
    </w:pPr>
    <w:rPr>
      <w:rFonts w:ascii="Times New Roman" w:hAnsi="Times New Roman"/>
      <w:sz w:val="24"/>
      <w:szCs w:val="22"/>
    </w:rPr>
  </w:style>
  <w:style w:type="paragraph" w:styleId="a6">
    <w:name w:val="List Paragraph"/>
    <w:basedOn w:val="a"/>
    <w:uiPriority w:val="34"/>
    <w:qFormat/>
    <w:rsid w:val="00BB6C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5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109</cp:revision>
  <cp:lastPrinted>2025-02-07T01:18:00Z</cp:lastPrinted>
  <dcterms:created xsi:type="dcterms:W3CDTF">2022-07-18T10:07:00Z</dcterms:created>
  <dcterms:modified xsi:type="dcterms:W3CDTF">2025-02-07T01:19:00Z</dcterms:modified>
</cp:coreProperties>
</file>